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7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85"/>
      </w:tblGrid>
      <w:tr w:rsidR="00D41940" w14:paraId="7F3DE169" w14:textId="77777777" w:rsidTr="59F793D9">
        <w:trPr>
          <w:trHeight w:val="351"/>
        </w:trPr>
        <w:tc>
          <w:tcPr>
            <w:tcW w:w="11785" w:type="dxa"/>
          </w:tcPr>
          <w:p w14:paraId="6A5B76B5" w14:textId="77777777" w:rsidR="00EA1AC3" w:rsidRDefault="00EA1AC3" w:rsidP="59F793D9">
            <w:pPr>
              <w:framePr w:w="11732" w:h="2838" w:hSpace="180" w:wrap="around" w:vAnchor="text" w:hAnchor="page" w:x="71" w:y="-15"/>
              <w:jc w:val="center"/>
              <w:rPr>
                <w:b/>
                <w:bCs/>
                <w:sz w:val="30"/>
                <w:szCs w:val="30"/>
              </w:rPr>
            </w:pPr>
            <w:bookmarkStart w:id="0" w:name="_Hlk501891334"/>
            <w:r w:rsidRPr="00EA1AC3">
              <w:rPr>
                <w:b/>
                <w:bCs/>
                <w:sz w:val="30"/>
                <w:szCs w:val="30"/>
              </w:rPr>
              <w:t xml:space="preserve">Fine-Tuning Small Language Models for Cybersecurity: </w:t>
            </w:r>
          </w:p>
          <w:p w14:paraId="6BFB9641" w14:textId="3926F92F" w:rsidR="00D41940" w:rsidRPr="00D41940" w:rsidRDefault="00EA1AC3" w:rsidP="59F793D9">
            <w:pPr>
              <w:framePr w:w="11732" w:h="2838" w:hSpace="180" w:wrap="around" w:vAnchor="text" w:hAnchor="page" w:x="71" w:y="-15"/>
              <w:jc w:val="center"/>
              <w:rPr>
                <w:b/>
                <w:bCs/>
                <w:sz w:val="30"/>
                <w:szCs w:val="30"/>
              </w:rPr>
            </w:pPr>
            <w:r w:rsidRPr="00EA1AC3">
              <w:rPr>
                <w:b/>
                <w:bCs/>
                <w:sz w:val="30"/>
                <w:szCs w:val="30"/>
              </w:rPr>
              <w:t xml:space="preserve">Data Ordering, Knowledge Distillation, and the Educator Effect </w:t>
            </w:r>
          </w:p>
        </w:tc>
      </w:tr>
      <w:tr w:rsidR="00D41940" w14:paraId="672A6659" w14:textId="77777777" w:rsidTr="59F793D9">
        <w:trPr>
          <w:trHeight w:val="289"/>
        </w:trPr>
        <w:tc>
          <w:tcPr>
            <w:tcW w:w="11785" w:type="dxa"/>
          </w:tcPr>
          <w:p w14:paraId="0A37501D" w14:textId="77777777" w:rsidR="00D41940" w:rsidRDefault="00D41940" w:rsidP="00C424DC">
            <w:pPr>
              <w:framePr w:w="11732" w:h="2838" w:hSpace="180" w:wrap="around" w:vAnchor="text" w:hAnchor="page" w:x="71" w:y="-15"/>
              <w:jc w:val="center"/>
              <w:rPr>
                <w:b/>
              </w:rPr>
            </w:pPr>
          </w:p>
        </w:tc>
      </w:tr>
      <w:tr w:rsidR="00E27E96" w14:paraId="4269B564" w14:textId="77777777" w:rsidTr="59F793D9">
        <w:trPr>
          <w:trHeight w:val="859"/>
        </w:trPr>
        <w:tc>
          <w:tcPr>
            <w:tcW w:w="11785" w:type="dxa"/>
          </w:tcPr>
          <w:p w14:paraId="5DAB6C7B" w14:textId="36EDBDA8" w:rsidR="00E27E96" w:rsidRDefault="00E27E96" w:rsidP="00C424DC">
            <w:pPr>
              <w:framePr w:w="11732" w:h="2838" w:hSpace="180" w:wrap="around" w:vAnchor="text" w:hAnchor="page" w:x="71" w:y="-15"/>
              <w:jc w:val="center"/>
              <w:rPr>
                <w:b/>
              </w:rPr>
            </w:pPr>
          </w:p>
          <w:p w14:paraId="02EB378F" w14:textId="77777777" w:rsidR="003C20B0" w:rsidRDefault="003C20B0" w:rsidP="00C424DC">
            <w:pPr>
              <w:framePr w:w="11732" w:h="2838" w:hSpace="180" w:wrap="around" w:vAnchor="text" w:hAnchor="page" w:x="71" w:y="-15"/>
              <w:jc w:val="center"/>
              <w:rPr>
                <w:b/>
              </w:rPr>
            </w:pPr>
          </w:p>
          <w:p w14:paraId="0FFCA9DF" w14:textId="77777777" w:rsidR="004F46F3" w:rsidRPr="004F46F3" w:rsidRDefault="004F46F3" w:rsidP="004F46F3">
            <w:pPr>
              <w:framePr w:w="11732" w:h="2838" w:hSpace="180" w:wrap="around" w:vAnchor="text" w:hAnchor="page" w:x="71" w:y="-15"/>
              <w:jc w:val="center"/>
            </w:pPr>
            <w:r w:rsidRPr="004F46F3">
              <w:t xml:space="preserve">Ozkan Kilic, </w:t>
            </w:r>
            <w:hyperlink r:id="rId8" w:history="1">
              <w:r w:rsidRPr="004F46F3">
                <w:rPr>
                  <w:rStyle w:val="Hyperlink"/>
                  <w:rFonts w:eastAsiaTheme="minorEastAsia"/>
                  <w:spacing w:val="0"/>
                  <w:kern w:val="0"/>
                  <w:lang w:eastAsia="en-US"/>
                </w:rPr>
                <w:t>okilic@cisco.com</w:t>
              </w:r>
            </w:hyperlink>
            <w:r w:rsidRPr="004F46F3">
              <w:t>, Cisco</w:t>
            </w:r>
          </w:p>
          <w:p w14:paraId="6B0D8775" w14:textId="77777777" w:rsidR="004F46F3" w:rsidRPr="004F46F3" w:rsidRDefault="004F46F3" w:rsidP="004F46F3">
            <w:pPr>
              <w:framePr w:w="11732" w:h="2838" w:hSpace="180" w:wrap="around" w:vAnchor="text" w:hAnchor="page" w:x="71" w:y="-15"/>
              <w:jc w:val="center"/>
            </w:pPr>
            <w:r w:rsidRPr="004F46F3">
              <w:t xml:space="preserve">Raja Soundaramourty, </w:t>
            </w:r>
            <w:hyperlink r:id="rId9" w:history="1">
              <w:r w:rsidRPr="004F46F3">
                <w:rPr>
                  <w:rStyle w:val="Hyperlink"/>
                  <w:rFonts w:eastAsiaTheme="minorEastAsia"/>
                  <w:spacing w:val="0"/>
                  <w:kern w:val="0"/>
                  <w:lang w:eastAsia="en-US"/>
                </w:rPr>
                <w:t>rajasoun@cisco.com</w:t>
              </w:r>
            </w:hyperlink>
            <w:r w:rsidRPr="004F46F3">
              <w:t>, Cisco</w:t>
            </w:r>
          </w:p>
          <w:p w14:paraId="01127D3B" w14:textId="77777777" w:rsidR="004F46F3" w:rsidRPr="004F46F3" w:rsidRDefault="004F46F3" w:rsidP="004F46F3">
            <w:pPr>
              <w:framePr w:w="11732" w:h="2838" w:hSpace="180" w:wrap="around" w:vAnchor="text" w:hAnchor="page" w:x="71" w:y="-15"/>
              <w:jc w:val="center"/>
              <w:rPr>
                <w:lang w:eastAsia="de-DE"/>
              </w:rPr>
            </w:pPr>
            <w:r w:rsidRPr="004F46F3">
              <w:t xml:space="preserve">Ramu Chenchaiah, </w:t>
            </w:r>
            <w:hyperlink r:id="rId10" w:history="1">
              <w:r w:rsidRPr="004F46F3">
                <w:rPr>
                  <w:rStyle w:val="Hyperlink"/>
                  <w:rFonts w:eastAsiaTheme="minorEastAsia"/>
                  <w:spacing w:val="0"/>
                  <w:kern w:val="0"/>
                  <w:lang w:eastAsia="en-US"/>
                </w:rPr>
                <w:t>rchencha@cisco.com</w:t>
              </w:r>
            </w:hyperlink>
            <w:r w:rsidRPr="004F46F3">
              <w:t>, Cisco</w:t>
            </w:r>
          </w:p>
          <w:p w14:paraId="0321111A" w14:textId="4BC998ED" w:rsidR="00E27E96" w:rsidRDefault="00E27E96" w:rsidP="004F46F3">
            <w:pPr>
              <w:framePr w:w="11732" w:h="2838" w:hSpace="180" w:wrap="around" w:vAnchor="text" w:hAnchor="page" w:x="71" w:y="-15"/>
              <w:rPr>
                <w:b/>
                <w:bCs/>
              </w:rPr>
            </w:pPr>
          </w:p>
        </w:tc>
      </w:tr>
      <w:tr w:rsidR="00E27E96" w14:paraId="6A05A809" w14:textId="77777777" w:rsidTr="59F793D9">
        <w:trPr>
          <w:trHeight w:val="279"/>
        </w:trPr>
        <w:tc>
          <w:tcPr>
            <w:tcW w:w="11785" w:type="dxa"/>
          </w:tcPr>
          <w:p w14:paraId="5A39BBE3" w14:textId="3F0CF888" w:rsidR="00E27E96" w:rsidRDefault="00E27E96" w:rsidP="00C424DC">
            <w:pPr>
              <w:framePr w:w="11732" w:h="2838" w:hSpace="180" w:wrap="around" w:vAnchor="text" w:hAnchor="page" w:x="71" w:y="-15"/>
              <w:jc w:val="center"/>
              <w:rPr>
                <w:b/>
              </w:rPr>
            </w:pPr>
          </w:p>
        </w:tc>
      </w:tr>
      <w:tr w:rsidR="00E27E96" w14:paraId="41C8F396" w14:textId="77777777" w:rsidTr="59F793D9">
        <w:trPr>
          <w:trHeight w:val="289"/>
        </w:trPr>
        <w:tc>
          <w:tcPr>
            <w:tcW w:w="11785" w:type="dxa"/>
          </w:tcPr>
          <w:p w14:paraId="72A3D3EC" w14:textId="30147893" w:rsidR="00E27E96" w:rsidRDefault="00E27E96" w:rsidP="004F46F3">
            <w:pPr>
              <w:framePr w:w="11732" w:h="2838" w:hSpace="180" w:wrap="around" w:vAnchor="text" w:hAnchor="page" w:x="71" w:y="-15"/>
              <w:rPr>
                <w:b/>
              </w:rPr>
            </w:pPr>
          </w:p>
        </w:tc>
      </w:tr>
    </w:tbl>
    <w:p w14:paraId="4E95ABCC" w14:textId="780AB5EE" w:rsidR="00A5424A" w:rsidRDefault="00A5424A" w:rsidP="00D5598D">
      <w:pPr>
        <w:pStyle w:val="ACLAbstractHeading"/>
      </w:pPr>
      <w:bookmarkStart w:id="1" w:name="OLE_LINK33"/>
      <w:bookmarkStart w:id="2" w:name="OLE_LINK34"/>
      <w:bookmarkEnd w:id="0"/>
      <w:r>
        <w:t>Abstract</w:t>
      </w:r>
    </w:p>
    <w:p w14:paraId="57C01C7E" w14:textId="00AFC3EC" w:rsidR="00A5424A" w:rsidRDefault="00EA1AC3" w:rsidP="005C1307">
      <w:pPr>
        <w:pStyle w:val="ACLAbstractText"/>
      </w:pPr>
      <w:r w:rsidRPr="00EA1AC3">
        <w:t>Data-sovereignty rules forbid cloud-hosted AI in many high-security environments, leaving compact on-premise models as the only path to AI-assisted cybersecurity. We fine-tune three small open-source models — Gemma 2 2B, Phi-3.5 3.8B, Llama 3.1 8B — on ~147,600 synthetic cybersecurity QA pairs using QLoRA on V100 GPUs. Under strict MCQ evaluation Gemma 2 gains +9.3 pp, Phi +4.0 pp, and Llama drops −24.0 pp. We term this the educator effect: models trained on pedagogical data internalize explanatory behavior at the expense of format compliance. Severity appears to scale with capacity, though capacity is confounded with architecture and learning rate. A controlled ablation shows randomized ordering outperforms curriculum, without significance testing on the 75-question exam.</w:t>
      </w:r>
    </w:p>
    <w:p w14:paraId="3E7A9F1C" w14:textId="48AEC7A5" w:rsidR="00A5424A" w:rsidRDefault="00A5424A" w:rsidP="00A5424A">
      <w:pPr>
        <w:pStyle w:val="ACLSection"/>
      </w:pPr>
      <w:r>
        <w:t>Introduction</w:t>
      </w:r>
    </w:p>
    <w:p w14:paraId="112A40DD" w14:textId="2896D0E7" w:rsidR="006341F4" w:rsidRPr="007556A7" w:rsidRDefault="006341F4" w:rsidP="00541AC0">
      <w:pPr>
        <w:pStyle w:val="ACLTextFirstLine"/>
        <w:ind w:firstLine="0"/>
        <w:rPr>
          <w:sz w:val="22"/>
          <w:szCs w:val="22"/>
        </w:rPr>
      </w:pPr>
      <w:r w:rsidRPr="007556A7">
        <w:rPr>
          <w:sz w:val="22"/>
          <w:szCs w:val="22"/>
        </w:rPr>
        <w:t>The cybersecurity workforce shortage has driven interest in AI for security operations and training. Large models like GPT-4 (OpenAI, 2023) show strong capability but require cloud inference. Financial institutions (PCI-DSS), energy facilities (NERC CIP), healthcare (HIPAA), and GDPR-bound enterprises all face the same constraint: cloud LLM APIs are forbidden. In these air-gapped environments the choice is between a local model and no model at all.</w:t>
      </w:r>
    </w:p>
    <w:p w14:paraId="1D072518" w14:textId="366FE6B1" w:rsidR="006341F4" w:rsidRPr="007556A7" w:rsidRDefault="006341F4" w:rsidP="006341F4">
      <w:pPr>
        <w:pStyle w:val="ACLTextFirstLine"/>
        <w:rPr>
          <w:sz w:val="22"/>
          <w:szCs w:val="22"/>
        </w:rPr>
      </w:pPr>
      <w:r w:rsidRPr="007556A7">
        <w:rPr>
          <w:sz w:val="22"/>
          <w:szCs w:val="22"/>
        </w:rPr>
        <w:t xml:space="preserve">A substantial portion of the organizations most in need of cybersecurity AI assistance operate under regulatory and policy frameworks that categorically prohibit transmitting operational data to external servers. The development of compact, </w:t>
      </w:r>
      <w:proofErr w:type="gramStart"/>
      <w:r w:rsidRPr="007556A7">
        <w:rPr>
          <w:sz w:val="22"/>
          <w:szCs w:val="22"/>
        </w:rPr>
        <w:t>on-premise</w:t>
      </w:r>
      <w:proofErr w:type="gramEnd"/>
      <w:r w:rsidRPr="007556A7">
        <w:rPr>
          <w:sz w:val="22"/>
          <w:szCs w:val="22"/>
        </w:rPr>
        <w:t xml:space="preserve"> language models fine-tuned for cybersecurity thus represents both a practical necessity and a research imperative.</w:t>
      </w:r>
    </w:p>
    <w:p w14:paraId="3626D626" w14:textId="21E9864D" w:rsidR="006341F4" w:rsidRPr="007556A7" w:rsidRDefault="006341F4" w:rsidP="006341F4">
      <w:pPr>
        <w:pStyle w:val="ACLTextFirstLine"/>
        <w:rPr>
          <w:sz w:val="22"/>
          <w:szCs w:val="22"/>
        </w:rPr>
      </w:pPr>
      <w:r w:rsidRPr="007556A7">
        <w:rPr>
          <w:sz w:val="22"/>
          <w:szCs w:val="22"/>
        </w:rPr>
        <w:t>This work addresses three questions: (1) Can small language models (≤8B parameters) be effectively fine-tuned for cybersecurity using curriculum-based training on synthetic data? (2) Does curriculum learning in easy-to-hard progression</w:t>
      </w:r>
      <w:r w:rsidR="0037262C">
        <w:rPr>
          <w:sz w:val="22"/>
          <w:szCs w:val="22"/>
        </w:rPr>
        <w:t xml:space="preserve"> </w:t>
      </w:r>
      <w:r w:rsidRPr="007556A7">
        <w:rPr>
          <w:sz w:val="22"/>
          <w:szCs w:val="22"/>
        </w:rPr>
        <w:t xml:space="preserve">confer advantages over random presentation during </w:t>
      </w:r>
      <w:proofErr w:type="spellStart"/>
      <w:r w:rsidRPr="007556A7">
        <w:rPr>
          <w:sz w:val="22"/>
          <w:szCs w:val="22"/>
        </w:rPr>
        <w:t>LoRA</w:t>
      </w:r>
      <w:proofErr w:type="spellEnd"/>
      <w:r w:rsidRPr="007556A7">
        <w:rPr>
          <w:sz w:val="22"/>
          <w:szCs w:val="22"/>
        </w:rPr>
        <w:t xml:space="preserve"> fine-tuning? (3) How do different model architectures and pre-training methods respond to domain-specific fine-tuning?</w:t>
      </w:r>
    </w:p>
    <w:p w14:paraId="0AF22DC6" w14:textId="77777777" w:rsidR="006341F4" w:rsidRPr="007556A7" w:rsidRDefault="006341F4" w:rsidP="006341F4">
      <w:pPr>
        <w:pStyle w:val="ACLTextFirstLine"/>
        <w:rPr>
          <w:sz w:val="22"/>
          <w:szCs w:val="22"/>
        </w:rPr>
      </w:pPr>
      <w:r w:rsidRPr="007556A7">
        <w:rPr>
          <w:sz w:val="22"/>
          <w:szCs w:val="22"/>
        </w:rPr>
        <w:t xml:space="preserve">We construct a large-scale synthetic cybersecurity dataset from 21 Cisco University courses organized into a 6-tier difficulty curriculum, fine-tune three models using </w:t>
      </w:r>
      <w:proofErr w:type="spellStart"/>
      <w:r w:rsidRPr="007556A7">
        <w:rPr>
          <w:sz w:val="22"/>
          <w:szCs w:val="22"/>
        </w:rPr>
        <w:t>QLoRA</w:t>
      </w:r>
      <w:proofErr w:type="spellEnd"/>
      <w:r w:rsidRPr="007556A7">
        <w:rPr>
          <w:sz w:val="22"/>
          <w:szCs w:val="22"/>
        </w:rPr>
        <w:t xml:space="preserve"> on V100 GPUs (reflecting the hardware constraints typical of institutional and governmental computing environments), and evaluate on both certification-style MCQ and open-ended cybersecurity questions. Our contributions include:</w:t>
      </w:r>
    </w:p>
    <w:p w14:paraId="07D2C0BA" w14:textId="2DE6E7BB" w:rsidR="006341F4" w:rsidRPr="007556A7" w:rsidRDefault="006341F4" w:rsidP="006341F4">
      <w:pPr>
        <w:pStyle w:val="ACLTextFirstLine"/>
        <w:numPr>
          <w:ilvl w:val="0"/>
          <w:numId w:val="24"/>
        </w:numPr>
        <w:rPr>
          <w:sz w:val="22"/>
          <w:szCs w:val="22"/>
        </w:rPr>
      </w:pPr>
      <w:r w:rsidRPr="007556A7">
        <w:rPr>
          <w:sz w:val="22"/>
          <w:szCs w:val="22"/>
        </w:rPr>
        <w:t>Documenting the educator effect: A systematic behavioral shift in fine-tuned models toward pedagogical explanation at the expense of constrained answer selection. In our three-model sample severity appears to scale with model capacity, but this remains confounded with architecture, tokenizer, and learning rate and is offered as a hypothesis for future controlled study.</w:t>
      </w:r>
    </w:p>
    <w:p w14:paraId="3B385119" w14:textId="77777777" w:rsidR="006341F4" w:rsidRPr="007556A7" w:rsidRDefault="006341F4" w:rsidP="006341F4">
      <w:pPr>
        <w:pStyle w:val="ACLTextFirstLine"/>
        <w:numPr>
          <w:ilvl w:val="0"/>
          <w:numId w:val="24"/>
        </w:numPr>
        <w:rPr>
          <w:sz w:val="22"/>
          <w:szCs w:val="22"/>
        </w:rPr>
      </w:pPr>
      <w:r w:rsidRPr="007556A7">
        <w:rPr>
          <w:sz w:val="22"/>
          <w:szCs w:val="22"/>
        </w:rPr>
        <w:t xml:space="preserve">The first controlled curriculum-vs-random ablation study for </w:t>
      </w:r>
      <w:proofErr w:type="spellStart"/>
      <w:r w:rsidRPr="007556A7">
        <w:rPr>
          <w:sz w:val="22"/>
          <w:szCs w:val="22"/>
        </w:rPr>
        <w:t>LoRA</w:t>
      </w:r>
      <w:proofErr w:type="spellEnd"/>
      <w:r w:rsidRPr="007556A7">
        <w:rPr>
          <w:sz w:val="22"/>
          <w:szCs w:val="22"/>
        </w:rPr>
        <w:t xml:space="preserve"> fine-tuning of instruction-tuned LLMs, extending Wu et al. (2021) and Campos (2021) to parameter-efficient fine-tuning.</w:t>
      </w:r>
    </w:p>
    <w:p w14:paraId="7A8C0864" w14:textId="77777777" w:rsidR="006341F4" w:rsidRPr="007556A7" w:rsidRDefault="006341F4" w:rsidP="006341F4">
      <w:pPr>
        <w:pStyle w:val="ACLTextFirstLine"/>
        <w:numPr>
          <w:ilvl w:val="0"/>
          <w:numId w:val="24"/>
        </w:numPr>
        <w:rPr>
          <w:sz w:val="22"/>
          <w:szCs w:val="22"/>
        </w:rPr>
      </w:pPr>
      <w:r w:rsidRPr="007556A7">
        <w:rPr>
          <w:sz w:val="22"/>
          <w:szCs w:val="22"/>
        </w:rPr>
        <w:t>Preliminary, confounded evidence that knowledge-distillation (KD) pre-training may confer robustness to both behavioral disruption and data ordering effects during fine-tuning; we frame this as a hypothesis requiring a controlled KD-vs-non-KD experiment.</w:t>
      </w:r>
    </w:p>
    <w:p w14:paraId="692ADC23" w14:textId="77777777" w:rsidR="006341F4" w:rsidRPr="007556A7" w:rsidRDefault="006341F4" w:rsidP="006341F4">
      <w:pPr>
        <w:pStyle w:val="ACLTextFirstLine"/>
        <w:numPr>
          <w:ilvl w:val="0"/>
          <w:numId w:val="24"/>
        </w:numPr>
        <w:rPr>
          <w:sz w:val="22"/>
          <w:szCs w:val="22"/>
        </w:rPr>
      </w:pPr>
      <w:r w:rsidRPr="007556A7">
        <w:rPr>
          <w:sz w:val="22"/>
          <w:szCs w:val="22"/>
        </w:rPr>
        <w:lastRenderedPageBreak/>
        <w:t>Practical findings on hardware compatibility for resource-constrained deployments (V100 GPU limitations with recent architectures).</w:t>
      </w:r>
    </w:p>
    <w:p w14:paraId="17A42A2D" w14:textId="5F860BC3" w:rsidR="00347241" w:rsidRPr="007556A7" w:rsidRDefault="00347241" w:rsidP="00347241">
      <w:pPr>
        <w:pStyle w:val="ACLSection"/>
        <w:rPr>
          <w:szCs w:val="24"/>
        </w:rPr>
      </w:pPr>
      <w:r w:rsidRPr="007556A7">
        <w:rPr>
          <w:szCs w:val="24"/>
        </w:rPr>
        <w:t xml:space="preserve">Related Work </w:t>
      </w:r>
    </w:p>
    <w:p w14:paraId="0FF2B52D" w14:textId="50316D10" w:rsidR="00347241" w:rsidRPr="007556A7" w:rsidRDefault="00347241" w:rsidP="00347241">
      <w:pPr>
        <w:pStyle w:val="ACLSubsection"/>
      </w:pPr>
      <w:r w:rsidRPr="007556A7">
        <w:t>Curriculum Learning</w:t>
      </w:r>
    </w:p>
    <w:p w14:paraId="58053BBC" w14:textId="7BFDC815" w:rsidR="00347241" w:rsidRPr="007556A7" w:rsidRDefault="00347241" w:rsidP="00202E9F">
      <w:pPr>
        <w:pStyle w:val="ACLTextFirstLine"/>
        <w:ind w:firstLine="0"/>
        <w:rPr>
          <w:sz w:val="22"/>
          <w:szCs w:val="22"/>
        </w:rPr>
      </w:pPr>
      <w:r w:rsidRPr="007556A7">
        <w:rPr>
          <w:sz w:val="22"/>
          <w:szCs w:val="22"/>
        </w:rPr>
        <w:t>Curriculum learning (Bengio et al., 2009) orders training examples easy-to-hard, mirroring human education. Surveys (Wang et al., 2021; Soviany et al., 2022) categorize approaches and note that anti-curriculum orderings generally underperform. Xu et al. (2023) show curriculum-based DPO benefits alignment.</w:t>
      </w:r>
    </w:p>
    <w:p w14:paraId="0F9E3956" w14:textId="18986444" w:rsidR="00347241" w:rsidRPr="007556A7" w:rsidRDefault="00347241" w:rsidP="00347241">
      <w:pPr>
        <w:pStyle w:val="ACLTextFirstLine"/>
        <w:rPr>
          <w:sz w:val="22"/>
          <w:szCs w:val="22"/>
        </w:rPr>
      </w:pPr>
      <w:r w:rsidRPr="007556A7">
        <w:rPr>
          <w:sz w:val="22"/>
          <w:szCs w:val="22"/>
        </w:rPr>
        <w:t>The application of curriculum learning to domain-specific fine-tuning remains underexplored. In the medical domain, curricula mirroring the progression of medical education have shown promise, providing theoretical motivation for cybersecurit</w:t>
      </w:r>
      <w:r w:rsidR="007D6ABE">
        <w:rPr>
          <w:sz w:val="22"/>
          <w:szCs w:val="22"/>
        </w:rPr>
        <w:t xml:space="preserve">y, </w:t>
      </w:r>
      <w:r w:rsidRPr="007556A7">
        <w:rPr>
          <w:sz w:val="22"/>
          <w:szCs w:val="22"/>
        </w:rPr>
        <w:t>which exhibits comparable prerequisite structures (e.g., networking fundamentals must precede network security concepts).</w:t>
      </w:r>
    </w:p>
    <w:p w14:paraId="3B7529F5" w14:textId="5B543E80" w:rsidR="00347241" w:rsidRPr="007556A7" w:rsidRDefault="00347241" w:rsidP="00347241">
      <w:pPr>
        <w:pStyle w:val="ACLTextFirstLine"/>
        <w:rPr>
          <w:sz w:val="22"/>
          <w:szCs w:val="22"/>
        </w:rPr>
      </w:pPr>
      <w:r w:rsidRPr="007556A7">
        <w:rPr>
          <w:sz w:val="22"/>
          <w:szCs w:val="22"/>
        </w:rPr>
        <w:t>However, the most comprehensive empirical study (Wu et al., 2021) tests thousands of orderings and finds randomly ordered samples perform as well or better, attributing any benefit to dynamic dataset sizing rather than ordering. Campos (2021) corroborates this for LM pre-training. Neither addresses LoRA fine-tuning of instruction-tuned LLMs.</w:t>
      </w:r>
    </w:p>
    <w:p w14:paraId="2E3CCE38" w14:textId="1494B2B6" w:rsidR="00347241" w:rsidRDefault="00347241" w:rsidP="00347241">
      <w:pPr>
        <w:pStyle w:val="ACLSubsection"/>
      </w:pPr>
      <w:r>
        <w:t>Domain-Specific LLM Adaptation: Cybersecurity</w:t>
      </w:r>
    </w:p>
    <w:p w14:paraId="40F2FA27" w14:textId="691E6075" w:rsidR="00347241" w:rsidRPr="007556A7" w:rsidRDefault="00347241" w:rsidP="00541AC0">
      <w:pPr>
        <w:pStyle w:val="ACLTextFirstLine"/>
        <w:ind w:firstLine="0"/>
        <w:rPr>
          <w:sz w:val="22"/>
          <w:szCs w:val="22"/>
        </w:rPr>
      </w:pPr>
      <w:r w:rsidRPr="007556A7">
        <w:rPr>
          <w:sz w:val="22"/>
          <w:szCs w:val="22"/>
        </w:rPr>
        <w:t>Parameter-efficient fine-tuning dominates domain adaptation. LoRA (Hu et al., 2021) injects low-rank matrices while freezing pre-trained weights; QLoRA (Dettmers et al., 2023) adds 4-bit NormalFloat quantization, enabling 65B fine-tuning on a single 48 GB GPU at 16-bit quality. These methods reduce but do not eliminate the tension between specialization and general-capability preservation (Ouyang et al., 2022).</w:t>
      </w:r>
    </w:p>
    <w:p w14:paraId="5CC11F1B" w14:textId="1404ECC9" w:rsidR="00347241" w:rsidRPr="007556A7" w:rsidRDefault="00347241" w:rsidP="00347241">
      <w:pPr>
        <w:pStyle w:val="ACLTextFirstLine"/>
        <w:rPr>
          <w:sz w:val="22"/>
          <w:szCs w:val="22"/>
        </w:rPr>
      </w:pPr>
      <w:r w:rsidRPr="007556A7">
        <w:rPr>
          <w:sz w:val="22"/>
          <w:szCs w:val="22"/>
        </w:rPr>
        <w:t xml:space="preserve">Biderman et al. (2024) show LoRA “learns less and forgets less” than full fine-tuning, with learning rate the most critical hyperparameter. Kalajdzievski (2024) establishes that forgetting follows a shifted power law in trainable parameters and update steps. In medicine, MEDITRON (Chen et al., 2023) and Med-PaLM 2 (Singhal et al., 2023) </w:t>
      </w:r>
      <w:r w:rsidRPr="007556A7">
        <w:rPr>
          <w:sz w:val="22"/>
          <w:szCs w:val="22"/>
        </w:rPr>
        <w:t>achieve strong results through continued pretraining at 70B+ scale.</w:t>
      </w:r>
      <m:oMath>
        <m:r>
          <w:rPr>
            <w:rFonts w:ascii="Cambria Math" w:hAnsi="Cambria Math"/>
            <w:sz w:val="22"/>
            <w:szCs w:val="22"/>
          </w:rPr>
          <m:t>5×</m:t>
        </m:r>
        <m:sSup>
          <m:sSupPr>
            <m:ctrlPr>
              <w:rPr>
                <w:rFonts w:ascii="Cambria Math" w:hAnsi="Cambria Math"/>
                <w:sz w:val="22"/>
                <w:szCs w:val="22"/>
              </w:rPr>
            </m:ctrlPr>
          </m:sSupPr>
          <m:e>
            <m:r>
              <w:rPr>
                <w:rFonts w:ascii="Cambria Math" w:hAnsi="Cambria Math"/>
                <w:sz w:val="22"/>
                <w:szCs w:val="22"/>
              </w:rPr>
              <m:t>10</m:t>
            </m:r>
          </m:e>
          <m:sup>
            <m:r>
              <w:rPr>
                <w:rFonts w:ascii="Cambria Math" w:hAnsi="Cambria Math"/>
                <w:sz w:val="22"/>
                <w:szCs w:val="22"/>
              </w:rPr>
              <m:t>-5</m:t>
            </m:r>
          </m:sup>
        </m:sSup>
        <m:r>
          <w:rPr>
            <w:rFonts w:ascii="Cambria Math" w:hAnsi="Cambria Math"/>
            <w:sz w:val="22"/>
            <w:szCs w:val="22"/>
          </w:rPr>
          <m:t>5×</m:t>
        </m:r>
        <m:sSup>
          <m:sSupPr>
            <m:ctrlPr>
              <w:rPr>
                <w:rFonts w:ascii="Cambria Math" w:hAnsi="Cambria Math"/>
                <w:sz w:val="22"/>
                <w:szCs w:val="22"/>
              </w:rPr>
            </m:ctrlPr>
          </m:sSupPr>
          <m:e>
            <m:r>
              <w:rPr>
                <w:rFonts w:ascii="Cambria Math" w:hAnsi="Cambria Math"/>
                <w:sz w:val="22"/>
                <w:szCs w:val="22"/>
              </w:rPr>
              <m:t>10</m:t>
            </m:r>
          </m:e>
          <m:sup>
            <m:r>
              <w:rPr>
                <w:rFonts w:ascii="Cambria Math" w:hAnsi="Cambria Math"/>
                <w:sz w:val="22"/>
                <w:szCs w:val="22"/>
              </w:rPr>
              <m:t>-4</m:t>
            </m:r>
          </m:sup>
        </m:sSup>
      </m:oMath>
    </w:p>
    <w:p w14:paraId="402F4853" w14:textId="25237B81" w:rsidR="00202E9F" w:rsidRPr="007556A7" w:rsidRDefault="00202E9F" w:rsidP="00202E9F">
      <w:pPr>
        <w:pStyle w:val="ACLSubsection"/>
      </w:pPr>
      <w:r w:rsidRPr="007556A7">
        <w:t>Language Models for Cybersecurity</w:t>
      </w:r>
    </w:p>
    <w:p w14:paraId="5756A644" w14:textId="6A66ACD6" w:rsidR="00347241" w:rsidRPr="007556A7" w:rsidRDefault="00202E9F" w:rsidP="00541AC0">
      <w:pPr>
        <w:pStyle w:val="ACLTextFirstLine"/>
        <w:ind w:firstLine="0"/>
        <w:rPr>
          <w:sz w:val="22"/>
          <w:szCs w:val="22"/>
        </w:rPr>
      </w:pPr>
      <w:proofErr w:type="spellStart"/>
      <w:r w:rsidRPr="007556A7">
        <w:rPr>
          <w:sz w:val="22"/>
          <w:szCs w:val="22"/>
        </w:rPr>
        <w:t>CyberMetric</w:t>
      </w:r>
      <w:proofErr w:type="spellEnd"/>
      <w:r w:rsidRPr="007556A7">
        <w:rPr>
          <w:sz w:val="22"/>
          <w:szCs w:val="22"/>
        </w:rPr>
        <w:t xml:space="preserve"> (Tihanyi et al., 2024) benchmarks LLM cybersecurity knowledge and finds substantial gaps versus experts. </w:t>
      </w:r>
      <w:proofErr w:type="spellStart"/>
      <w:r w:rsidRPr="007556A7">
        <w:rPr>
          <w:sz w:val="22"/>
          <w:szCs w:val="22"/>
        </w:rPr>
        <w:t>SecureFalcon</w:t>
      </w:r>
      <w:proofErr w:type="spellEnd"/>
      <w:r w:rsidRPr="007556A7">
        <w:rPr>
          <w:sz w:val="22"/>
          <w:szCs w:val="22"/>
        </w:rPr>
        <w:t xml:space="preserve"> (</w:t>
      </w:r>
      <w:proofErr w:type="spellStart"/>
      <w:r w:rsidRPr="007556A7">
        <w:rPr>
          <w:sz w:val="22"/>
          <w:szCs w:val="22"/>
        </w:rPr>
        <w:t>Ferrag</w:t>
      </w:r>
      <w:proofErr w:type="spellEnd"/>
      <w:r w:rsidRPr="007556A7">
        <w:rPr>
          <w:sz w:val="22"/>
          <w:szCs w:val="22"/>
        </w:rPr>
        <w:t xml:space="preserve"> et al., 2023) shows domain-specific models can outperform general ones (94% vulnerability classification). Air-gapped deployment creates demand for compact </w:t>
      </w:r>
      <w:proofErr w:type="gramStart"/>
      <w:r w:rsidRPr="007556A7">
        <w:rPr>
          <w:sz w:val="22"/>
          <w:szCs w:val="22"/>
        </w:rPr>
        <w:t>on-premise</w:t>
      </w:r>
      <w:proofErr w:type="gramEnd"/>
      <w:r w:rsidRPr="007556A7">
        <w:rPr>
          <w:sz w:val="22"/>
          <w:szCs w:val="22"/>
        </w:rPr>
        <w:t xml:space="preserve"> models, and synthetic data from authoritative sources is a standard strategy for domain training (</w:t>
      </w:r>
      <w:proofErr w:type="spellStart"/>
      <w:r w:rsidRPr="007556A7">
        <w:rPr>
          <w:sz w:val="22"/>
          <w:szCs w:val="22"/>
        </w:rPr>
        <w:t>Taori</w:t>
      </w:r>
      <w:proofErr w:type="spellEnd"/>
      <w:r w:rsidRPr="007556A7">
        <w:rPr>
          <w:sz w:val="22"/>
          <w:szCs w:val="22"/>
        </w:rPr>
        <w:t xml:space="preserve"> et al., 2023).</w:t>
      </w:r>
    </w:p>
    <w:p w14:paraId="1326BFF1" w14:textId="4D2F996F" w:rsidR="00202E9F" w:rsidRDefault="00202E9F" w:rsidP="00202E9F">
      <w:pPr>
        <w:pStyle w:val="ACLSection"/>
      </w:pPr>
      <w:r>
        <w:t>Methodology</w:t>
      </w:r>
    </w:p>
    <w:p w14:paraId="509E2ACF" w14:textId="3D420341" w:rsidR="00202E9F" w:rsidRDefault="00202E9F" w:rsidP="00202E9F">
      <w:pPr>
        <w:pStyle w:val="ACLSubsection"/>
      </w:pPr>
      <w:r>
        <w:t>Data Set Construction</w:t>
      </w:r>
    </w:p>
    <w:p w14:paraId="30C21D19" w14:textId="06944EAC" w:rsidR="00202E9F" w:rsidRPr="007556A7" w:rsidRDefault="00202E9F" w:rsidP="00A44F3B">
      <w:pPr>
        <w:pStyle w:val="ACLTextFirstLine"/>
        <w:ind w:firstLine="0"/>
        <w:rPr>
          <w:sz w:val="22"/>
          <w:szCs w:val="22"/>
        </w:rPr>
      </w:pPr>
      <w:r w:rsidRPr="007556A7">
        <w:rPr>
          <w:sz w:val="22"/>
          <w:szCs w:val="22"/>
        </w:rPr>
        <w:t>Our training data comes from 21 cybersecurity courses on Cisco University (u.cisco.com), spanning networking, security operations, ethical hacking, cloud security, and incident response. A three-stage prompted pipeline using GPT-4 (Azure OpenAI, temperature 0.7, max 3,000 tokens) produced 147,598 QA pairs: (1) concept extraction returning strict JSON, (2) chain-of-thought generation under a teaching-expert persona, and (3) Cisco-styled variant/reinforcement. Each item has a question, an explanatory answer, concept tags, and a curriculum tier (1–6). We did not apply MinHash/Jaccard deduplication or human re-labelling. Generation used a tenant-isolated Azure OpenAI endpoint; training and inference ran entirely on the on-premise GPU server. Cisco University licensing prevents release of the raw corpus, but we release prompts, training/evaluation code, LoRA adapter checkpoints, and per-question outputs. A substring decontamination check (50-char prefix) between the 213 evaluation prompts and 118,549 unique training prompts found 0 exact and 0 confirmed partial matches. Topical adjacency between courses and exam objectives remains.</w:t>
      </w:r>
    </w:p>
    <w:p w14:paraId="1588DBDE" w14:textId="77777777" w:rsidR="00202E9F" w:rsidRDefault="00202E9F" w:rsidP="00202E9F">
      <w:pPr>
        <w:pStyle w:val="ACLTextFirstLine"/>
      </w:pPr>
    </w:p>
    <w:tbl>
      <w:tblPr>
        <w:tblStyle w:val="TableGrid"/>
        <w:tblW w:w="0" w:type="auto"/>
        <w:tblLook w:val="04A0" w:firstRow="1" w:lastRow="0" w:firstColumn="1" w:lastColumn="0" w:noHBand="0" w:noVBand="1"/>
      </w:tblPr>
      <w:tblGrid>
        <w:gridCol w:w="612"/>
        <w:gridCol w:w="1669"/>
        <w:gridCol w:w="960"/>
        <w:gridCol w:w="985"/>
      </w:tblGrid>
      <w:tr w:rsidR="00202E9F" w:rsidRPr="0032189D" w14:paraId="25807645" w14:textId="77777777" w:rsidTr="002E0BAD">
        <w:tc>
          <w:tcPr>
            <w:tcW w:w="612" w:type="dxa"/>
            <w:tcBorders>
              <w:top w:val="single" w:sz="4" w:space="0" w:color="auto"/>
              <w:left w:val="nil"/>
              <w:bottom w:val="single" w:sz="4" w:space="0" w:color="auto"/>
              <w:right w:val="nil"/>
            </w:tcBorders>
            <w:vAlign w:val="center"/>
          </w:tcPr>
          <w:p w14:paraId="00CEABAB" w14:textId="04849CE2" w:rsidR="00202E9F" w:rsidRPr="0032189D" w:rsidRDefault="00202E9F" w:rsidP="00202E9F">
            <w:pPr>
              <w:pStyle w:val="ACLTextFirstLine"/>
              <w:spacing w:line="240" w:lineRule="auto"/>
              <w:ind w:firstLine="0"/>
              <w:rPr>
                <w:sz w:val="20"/>
                <w:szCs w:val="20"/>
              </w:rPr>
            </w:pPr>
            <w:r w:rsidRPr="0032189D">
              <w:rPr>
                <w:b/>
                <w:bCs/>
                <w:color w:val="000000"/>
                <w:sz w:val="20"/>
                <w:szCs w:val="20"/>
              </w:rPr>
              <w:t>Tier</w:t>
            </w:r>
          </w:p>
        </w:tc>
        <w:tc>
          <w:tcPr>
            <w:tcW w:w="1669" w:type="dxa"/>
            <w:tcBorders>
              <w:top w:val="single" w:sz="4" w:space="0" w:color="auto"/>
              <w:left w:val="nil"/>
              <w:bottom w:val="single" w:sz="4" w:space="0" w:color="auto"/>
              <w:right w:val="nil"/>
            </w:tcBorders>
            <w:vAlign w:val="center"/>
          </w:tcPr>
          <w:p w14:paraId="139C6A48" w14:textId="51C571BD" w:rsidR="00202E9F" w:rsidRPr="0032189D" w:rsidRDefault="00202E9F" w:rsidP="00202E9F">
            <w:pPr>
              <w:pStyle w:val="ACLTextFirstLine"/>
              <w:spacing w:line="240" w:lineRule="auto"/>
              <w:ind w:firstLine="0"/>
              <w:rPr>
                <w:sz w:val="20"/>
                <w:szCs w:val="20"/>
              </w:rPr>
            </w:pPr>
            <w:r w:rsidRPr="0032189D">
              <w:rPr>
                <w:b/>
                <w:bCs/>
                <w:color w:val="000000"/>
                <w:sz w:val="20"/>
                <w:szCs w:val="20"/>
              </w:rPr>
              <w:t>Focus Area</w:t>
            </w:r>
          </w:p>
        </w:tc>
        <w:tc>
          <w:tcPr>
            <w:tcW w:w="960" w:type="dxa"/>
            <w:tcBorders>
              <w:top w:val="single" w:sz="4" w:space="0" w:color="auto"/>
              <w:left w:val="nil"/>
              <w:bottom w:val="single" w:sz="4" w:space="0" w:color="auto"/>
              <w:right w:val="nil"/>
            </w:tcBorders>
            <w:vAlign w:val="center"/>
          </w:tcPr>
          <w:p w14:paraId="72A6179C" w14:textId="1EA94065" w:rsidR="00202E9F" w:rsidRPr="0032189D" w:rsidRDefault="00202E9F" w:rsidP="00202E9F">
            <w:pPr>
              <w:pStyle w:val="ACLTextFirstLine"/>
              <w:spacing w:line="240" w:lineRule="auto"/>
              <w:ind w:firstLine="0"/>
              <w:rPr>
                <w:sz w:val="20"/>
                <w:szCs w:val="20"/>
              </w:rPr>
            </w:pPr>
            <w:r w:rsidRPr="0032189D">
              <w:rPr>
                <w:b/>
                <w:bCs/>
                <w:color w:val="000000"/>
                <w:sz w:val="20"/>
                <w:szCs w:val="20"/>
              </w:rPr>
              <w:t>Courses</w:t>
            </w:r>
          </w:p>
        </w:tc>
        <w:tc>
          <w:tcPr>
            <w:tcW w:w="985" w:type="dxa"/>
            <w:tcBorders>
              <w:top w:val="single" w:sz="4" w:space="0" w:color="auto"/>
              <w:left w:val="nil"/>
              <w:bottom w:val="single" w:sz="4" w:space="0" w:color="auto"/>
              <w:right w:val="nil"/>
            </w:tcBorders>
            <w:vAlign w:val="center"/>
          </w:tcPr>
          <w:p w14:paraId="68E49DA3" w14:textId="5E182946" w:rsidR="00202E9F" w:rsidRPr="0032189D" w:rsidRDefault="00202E9F" w:rsidP="00202E9F">
            <w:pPr>
              <w:pStyle w:val="ACLTextFirstLine"/>
              <w:spacing w:line="240" w:lineRule="auto"/>
              <w:ind w:firstLine="0"/>
              <w:rPr>
                <w:sz w:val="20"/>
                <w:szCs w:val="20"/>
              </w:rPr>
            </w:pPr>
            <w:r w:rsidRPr="0032189D">
              <w:rPr>
                <w:b/>
                <w:bCs/>
                <w:color w:val="000000"/>
                <w:sz w:val="20"/>
                <w:szCs w:val="20"/>
              </w:rPr>
              <w:t>Samples</w:t>
            </w:r>
          </w:p>
        </w:tc>
      </w:tr>
      <w:tr w:rsidR="00202E9F" w:rsidRPr="0032189D" w14:paraId="032DA441" w14:textId="77777777" w:rsidTr="002E0BAD">
        <w:tc>
          <w:tcPr>
            <w:tcW w:w="612" w:type="dxa"/>
            <w:tcBorders>
              <w:top w:val="single" w:sz="4" w:space="0" w:color="auto"/>
              <w:left w:val="nil"/>
              <w:bottom w:val="nil"/>
              <w:right w:val="nil"/>
            </w:tcBorders>
            <w:vAlign w:val="center"/>
          </w:tcPr>
          <w:p w14:paraId="4C45F8CD" w14:textId="5FF44050" w:rsidR="00202E9F" w:rsidRPr="0032189D" w:rsidRDefault="00202E9F" w:rsidP="00202E9F">
            <w:pPr>
              <w:pStyle w:val="ACLTextFirstLine"/>
              <w:spacing w:line="240" w:lineRule="auto"/>
              <w:ind w:firstLine="0"/>
              <w:rPr>
                <w:sz w:val="20"/>
                <w:szCs w:val="20"/>
              </w:rPr>
            </w:pPr>
            <w:r w:rsidRPr="0032189D">
              <w:rPr>
                <w:color w:val="000000"/>
                <w:sz w:val="20"/>
                <w:szCs w:val="20"/>
              </w:rPr>
              <w:t>1</w:t>
            </w:r>
          </w:p>
        </w:tc>
        <w:tc>
          <w:tcPr>
            <w:tcW w:w="1669" w:type="dxa"/>
            <w:tcBorders>
              <w:top w:val="single" w:sz="4" w:space="0" w:color="auto"/>
              <w:left w:val="nil"/>
              <w:bottom w:val="nil"/>
              <w:right w:val="nil"/>
            </w:tcBorders>
            <w:vAlign w:val="center"/>
          </w:tcPr>
          <w:p w14:paraId="3366B21B" w14:textId="38542DC1" w:rsidR="00202E9F" w:rsidRPr="0032189D" w:rsidRDefault="00202E9F" w:rsidP="00202E9F">
            <w:pPr>
              <w:pStyle w:val="ACLTextFirstLine"/>
              <w:spacing w:line="240" w:lineRule="auto"/>
              <w:ind w:firstLine="0"/>
              <w:rPr>
                <w:sz w:val="20"/>
                <w:szCs w:val="20"/>
              </w:rPr>
            </w:pPr>
            <w:r w:rsidRPr="0032189D">
              <w:rPr>
                <w:color w:val="000000"/>
                <w:sz w:val="20"/>
                <w:szCs w:val="20"/>
              </w:rPr>
              <w:t>Foundational Knowledge (OS, Networking, Crypto)</w:t>
            </w:r>
          </w:p>
        </w:tc>
        <w:tc>
          <w:tcPr>
            <w:tcW w:w="960" w:type="dxa"/>
            <w:tcBorders>
              <w:top w:val="single" w:sz="4" w:space="0" w:color="auto"/>
              <w:left w:val="nil"/>
              <w:bottom w:val="nil"/>
              <w:right w:val="nil"/>
            </w:tcBorders>
            <w:vAlign w:val="center"/>
          </w:tcPr>
          <w:p w14:paraId="05CB834A" w14:textId="106C2626" w:rsidR="00202E9F" w:rsidRPr="0032189D" w:rsidRDefault="00202E9F" w:rsidP="00FC25AA">
            <w:pPr>
              <w:pStyle w:val="ACLTextFirstLine"/>
              <w:spacing w:line="240" w:lineRule="auto"/>
              <w:ind w:firstLine="0"/>
              <w:jc w:val="center"/>
              <w:rPr>
                <w:sz w:val="20"/>
                <w:szCs w:val="20"/>
              </w:rPr>
            </w:pPr>
            <w:r w:rsidRPr="0032189D">
              <w:rPr>
                <w:color w:val="000000"/>
                <w:sz w:val="20"/>
                <w:szCs w:val="20"/>
              </w:rPr>
              <w:t>4</w:t>
            </w:r>
          </w:p>
        </w:tc>
        <w:tc>
          <w:tcPr>
            <w:tcW w:w="985" w:type="dxa"/>
            <w:tcBorders>
              <w:top w:val="single" w:sz="4" w:space="0" w:color="auto"/>
              <w:left w:val="nil"/>
              <w:bottom w:val="nil"/>
              <w:right w:val="nil"/>
            </w:tcBorders>
            <w:vAlign w:val="center"/>
          </w:tcPr>
          <w:p w14:paraId="6B785A50" w14:textId="20003BE6" w:rsidR="00202E9F" w:rsidRPr="0032189D" w:rsidRDefault="00202E9F" w:rsidP="00FC25AA">
            <w:pPr>
              <w:pStyle w:val="ACLTextFirstLine"/>
              <w:spacing w:line="240" w:lineRule="auto"/>
              <w:ind w:firstLine="0"/>
              <w:jc w:val="center"/>
              <w:rPr>
                <w:sz w:val="20"/>
                <w:szCs w:val="20"/>
              </w:rPr>
            </w:pPr>
            <w:r w:rsidRPr="0032189D">
              <w:rPr>
                <w:color w:val="000000"/>
                <w:sz w:val="20"/>
                <w:szCs w:val="20"/>
              </w:rPr>
              <w:t>42,579</w:t>
            </w:r>
          </w:p>
        </w:tc>
      </w:tr>
      <w:tr w:rsidR="00202E9F" w:rsidRPr="0032189D" w14:paraId="5D83D6F5" w14:textId="77777777" w:rsidTr="002E0BAD">
        <w:tc>
          <w:tcPr>
            <w:tcW w:w="612" w:type="dxa"/>
            <w:tcBorders>
              <w:top w:val="nil"/>
              <w:left w:val="nil"/>
              <w:bottom w:val="nil"/>
              <w:right w:val="nil"/>
            </w:tcBorders>
            <w:vAlign w:val="center"/>
          </w:tcPr>
          <w:p w14:paraId="09030864" w14:textId="4406B3F5" w:rsidR="00202E9F" w:rsidRPr="0032189D" w:rsidRDefault="00202E9F" w:rsidP="00202E9F">
            <w:pPr>
              <w:pStyle w:val="ACLTextFirstLine"/>
              <w:spacing w:line="240" w:lineRule="auto"/>
              <w:ind w:firstLine="0"/>
              <w:rPr>
                <w:sz w:val="20"/>
                <w:szCs w:val="20"/>
              </w:rPr>
            </w:pPr>
            <w:r w:rsidRPr="0032189D">
              <w:rPr>
                <w:color w:val="000000"/>
                <w:sz w:val="20"/>
                <w:szCs w:val="20"/>
              </w:rPr>
              <w:t>2</w:t>
            </w:r>
          </w:p>
        </w:tc>
        <w:tc>
          <w:tcPr>
            <w:tcW w:w="1669" w:type="dxa"/>
            <w:tcBorders>
              <w:top w:val="nil"/>
              <w:left w:val="nil"/>
              <w:bottom w:val="nil"/>
              <w:right w:val="nil"/>
            </w:tcBorders>
            <w:vAlign w:val="center"/>
          </w:tcPr>
          <w:p w14:paraId="54658F57" w14:textId="503289D5" w:rsidR="00202E9F" w:rsidRPr="0032189D" w:rsidRDefault="00202E9F" w:rsidP="00202E9F">
            <w:pPr>
              <w:pStyle w:val="ACLTextFirstLine"/>
              <w:spacing w:line="240" w:lineRule="auto"/>
              <w:ind w:firstLine="0"/>
              <w:rPr>
                <w:sz w:val="20"/>
                <w:szCs w:val="20"/>
              </w:rPr>
            </w:pPr>
            <w:r w:rsidRPr="0032189D">
              <w:rPr>
                <w:color w:val="000000"/>
                <w:sz w:val="20"/>
                <w:szCs w:val="20"/>
              </w:rPr>
              <w:t>SOC Fundamentals</w:t>
            </w:r>
          </w:p>
        </w:tc>
        <w:tc>
          <w:tcPr>
            <w:tcW w:w="960" w:type="dxa"/>
            <w:tcBorders>
              <w:top w:val="nil"/>
              <w:left w:val="nil"/>
              <w:bottom w:val="nil"/>
              <w:right w:val="nil"/>
            </w:tcBorders>
            <w:vAlign w:val="center"/>
          </w:tcPr>
          <w:p w14:paraId="5738D11D" w14:textId="3DDE8353" w:rsidR="00202E9F" w:rsidRPr="0032189D" w:rsidRDefault="00202E9F" w:rsidP="00FC25AA">
            <w:pPr>
              <w:pStyle w:val="ACLTextFirstLine"/>
              <w:spacing w:line="240" w:lineRule="auto"/>
              <w:ind w:firstLine="0"/>
              <w:jc w:val="center"/>
              <w:rPr>
                <w:sz w:val="20"/>
                <w:szCs w:val="20"/>
              </w:rPr>
            </w:pPr>
            <w:r w:rsidRPr="0032189D">
              <w:rPr>
                <w:color w:val="000000"/>
                <w:sz w:val="20"/>
                <w:szCs w:val="20"/>
              </w:rPr>
              <w:t>6</w:t>
            </w:r>
          </w:p>
        </w:tc>
        <w:tc>
          <w:tcPr>
            <w:tcW w:w="985" w:type="dxa"/>
            <w:tcBorders>
              <w:top w:val="nil"/>
              <w:left w:val="nil"/>
              <w:bottom w:val="nil"/>
              <w:right w:val="nil"/>
            </w:tcBorders>
            <w:vAlign w:val="center"/>
          </w:tcPr>
          <w:p w14:paraId="39BB3242" w14:textId="1C60E3EB" w:rsidR="00202E9F" w:rsidRPr="0032189D" w:rsidRDefault="00202E9F" w:rsidP="00FC25AA">
            <w:pPr>
              <w:pStyle w:val="ACLTextFirstLine"/>
              <w:spacing w:line="240" w:lineRule="auto"/>
              <w:ind w:firstLine="0"/>
              <w:jc w:val="center"/>
              <w:rPr>
                <w:sz w:val="20"/>
                <w:szCs w:val="20"/>
              </w:rPr>
            </w:pPr>
            <w:r w:rsidRPr="0032189D">
              <w:rPr>
                <w:color w:val="000000"/>
                <w:sz w:val="20"/>
                <w:szCs w:val="20"/>
              </w:rPr>
              <w:t>29,559</w:t>
            </w:r>
          </w:p>
        </w:tc>
      </w:tr>
      <w:tr w:rsidR="00202E9F" w:rsidRPr="0032189D" w14:paraId="4DE43F8B" w14:textId="77777777" w:rsidTr="002E0BAD">
        <w:tc>
          <w:tcPr>
            <w:tcW w:w="612" w:type="dxa"/>
            <w:tcBorders>
              <w:top w:val="nil"/>
              <w:left w:val="nil"/>
              <w:bottom w:val="nil"/>
              <w:right w:val="nil"/>
            </w:tcBorders>
            <w:vAlign w:val="center"/>
          </w:tcPr>
          <w:p w14:paraId="25DA4BB3" w14:textId="4C145CE7" w:rsidR="00202E9F" w:rsidRPr="0032189D" w:rsidRDefault="00202E9F" w:rsidP="00202E9F">
            <w:pPr>
              <w:pStyle w:val="ACLTextFirstLine"/>
              <w:spacing w:line="240" w:lineRule="auto"/>
              <w:ind w:firstLine="0"/>
              <w:rPr>
                <w:sz w:val="20"/>
                <w:szCs w:val="20"/>
              </w:rPr>
            </w:pPr>
            <w:r w:rsidRPr="0032189D">
              <w:rPr>
                <w:color w:val="000000"/>
                <w:sz w:val="20"/>
                <w:szCs w:val="20"/>
              </w:rPr>
              <w:t>3</w:t>
            </w:r>
          </w:p>
        </w:tc>
        <w:tc>
          <w:tcPr>
            <w:tcW w:w="1669" w:type="dxa"/>
            <w:tcBorders>
              <w:top w:val="nil"/>
              <w:left w:val="nil"/>
              <w:bottom w:val="nil"/>
              <w:right w:val="nil"/>
            </w:tcBorders>
            <w:vAlign w:val="center"/>
          </w:tcPr>
          <w:p w14:paraId="4296CB93" w14:textId="443CDC0A" w:rsidR="00202E9F" w:rsidRPr="0032189D" w:rsidRDefault="00202E9F" w:rsidP="00202E9F">
            <w:pPr>
              <w:pStyle w:val="ACLTextFirstLine"/>
              <w:spacing w:line="240" w:lineRule="auto"/>
              <w:ind w:firstLine="0"/>
              <w:rPr>
                <w:sz w:val="20"/>
                <w:szCs w:val="20"/>
              </w:rPr>
            </w:pPr>
            <w:r w:rsidRPr="0032189D">
              <w:rPr>
                <w:color w:val="000000"/>
                <w:sz w:val="20"/>
                <w:szCs w:val="20"/>
              </w:rPr>
              <w:t>Threats &amp; Attacks</w:t>
            </w:r>
          </w:p>
        </w:tc>
        <w:tc>
          <w:tcPr>
            <w:tcW w:w="960" w:type="dxa"/>
            <w:tcBorders>
              <w:top w:val="nil"/>
              <w:left w:val="nil"/>
              <w:bottom w:val="nil"/>
              <w:right w:val="nil"/>
            </w:tcBorders>
            <w:vAlign w:val="center"/>
          </w:tcPr>
          <w:p w14:paraId="2E0C8D10" w14:textId="6DD24877" w:rsidR="00202E9F" w:rsidRPr="0032189D" w:rsidRDefault="00202E9F" w:rsidP="00FC25AA">
            <w:pPr>
              <w:pStyle w:val="ACLTextFirstLine"/>
              <w:spacing w:line="240" w:lineRule="auto"/>
              <w:ind w:firstLine="0"/>
              <w:jc w:val="center"/>
              <w:rPr>
                <w:sz w:val="20"/>
                <w:szCs w:val="20"/>
              </w:rPr>
            </w:pPr>
            <w:r w:rsidRPr="0032189D">
              <w:rPr>
                <w:color w:val="000000"/>
                <w:sz w:val="20"/>
                <w:szCs w:val="20"/>
              </w:rPr>
              <w:t>4</w:t>
            </w:r>
          </w:p>
        </w:tc>
        <w:tc>
          <w:tcPr>
            <w:tcW w:w="985" w:type="dxa"/>
            <w:tcBorders>
              <w:top w:val="nil"/>
              <w:left w:val="nil"/>
              <w:bottom w:val="nil"/>
              <w:right w:val="nil"/>
            </w:tcBorders>
            <w:vAlign w:val="center"/>
          </w:tcPr>
          <w:p w14:paraId="328C5D4E" w14:textId="3732FF75" w:rsidR="00202E9F" w:rsidRPr="0032189D" w:rsidRDefault="00202E9F" w:rsidP="00FC25AA">
            <w:pPr>
              <w:pStyle w:val="ACLTextFirstLine"/>
              <w:spacing w:line="240" w:lineRule="auto"/>
              <w:ind w:firstLine="0"/>
              <w:jc w:val="center"/>
              <w:rPr>
                <w:sz w:val="20"/>
                <w:szCs w:val="20"/>
              </w:rPr>
            </w:pPr>
            <w:r w:rsidRPr="0032189D">
              <w:rPr>
                <w:color w:val="000000"/>
                <w:sz w:val="20"/>
                <w:szCs w:val="20"/>
              </w:rPr>
              <w:t>40,912</w:t>
            </w:r>
          </w:p>
        </w:tc>
      </w:tr>
      <w:tr w:rsidR="00202E9F" w:rsidRPr="0032189D" w14:paraId="03BF882E" w14:textId="77777777" w:rsidTr="002E0BAD">
        <w:tc>
          <w:tcPr>
            <w:tcW w:w="612" w:type="dxa"/>
            <w:tcBorders>
              <w:top w:val="nil"/>
              <w:left w:val="nil"/>
              <w:bottom w:val="nil"/>
              <w:right w:val="nil"/>
            </w:tcBorders>
            <w:vAlign w:val="center"/>
          </w:tcPr>
          <w:p w14:paraId="486698E7" w14:textId="3A7EF981" w:rsidR="00202E9F" w:rsidRPr="0032189D" w:rsidRDefault="00202E9F" w:rsidP="00202E9F">
            <w:pPr>
              <w:pStyle w:val="ACLTextFirstLine"/>
              <w:spacing w:line="240" w:lineRule="auto"/>
              <w:ind w:firstLine="0"/>
              <w:rPr>
                <w:sz w:val="20"/>
                <w:szCs w:val="20"/>
              </w:rPr>
            </w:pPr>
            <w:r w:rsidRPr="0032189D">
              <w:rPr>
                <w:color w:val="000000"/>
                <w:sz w:val="20"/>
                <w:szCs w:val="20"/>
              </w:rPr>
              <w:t>4</w:t>
            </w:r>
          </w:p>
        </w:tc>
        <w:tc>
          <w:tcPr>
            <w:tcW w:w="1669" w:type="dxa"/>
            <w:tcBorders>
              <w:top w:val="nil"/>
              <w:left w:val="nil"/>
              <w:bottom w:val="nil"/>
              <w:right w:val="nil"/>
            </w:tcBorders>
            <w:vAlign w:val="center"/>
          </w:tcPr>
          <w:p w14:paraId="2304B4DB" w14:textId="3436A713" w:rsidR="00202E9F" w:rsidRPr="0032189D" w:rsidRDefault="00202E9F" w:rsidP="00202E9F">
            <w:pPr>
              <w:pStyle w:val="ACLTextFirstLine"/>
              <w:spacing w:line="240" w:lineRule="auto"/>
              <w:ind w:firstLine="0"/>
              <w:rPr>
                <w:sz w:val="20"/>
                <w:szCs w:val="20"/>
              </w:rPr>
            </w:pPr>
            <w:r w:rsidRPr="0032189D">
              <w:rPr>
                <w:color w:val="000000"/>
                <w:sz w:val="20"/>
                <w:szCs w:val="20"/>
              </w:rPr>
              <w:t>Detection &amp; Monitoring</w:t>
            </w:r>
          </w:p>
        </w:tc>
        <w:tc>
          <w:tcPr>
            <w:tcW w:w="960" w:type="dxa"/>
            <w:tcBorders>
              <w:top w:val="nil"/>
              <w:left w:val="nil"/>
              <w:bottom w:val="nil"/>
              <w:right w:val="nil"/>
            </w:tcBorders>
            <w:vAlign w:val="center"/>
          </w:tcPr>
          <w:p w14:paraId="069AEE5C" w14:textId="2FB45C3E" w:rsidR="00202E9F" w:rsidRPr="0032189D" w:rsidRDefault="00202E9F" w:rsidP="00FC25AA">
            <w:pPr>
              <w:pStyle w:val="ACLTextFirstLine"/>
              <w:spacing w:line="240" w:lineRule="auto"/>
              <w:ind w:firstLine="0"/>
              <w:jc w:val="center"/>
              <w:rPr>
                <w:sz w:val="20"/>
                <w:szCs w:val="20"/>
              </w:rPr>
            </w:pPr>
            <w:r w:rsidRPr="0032189D">
              <w:rPr>
                <w:color w:val="000000"/>
                <w:sz w:val="20"/>
                <w:szCs w:val="20"/>
              </w:rPr>
              <w:t>2</w:t>
            </w:r>
          </w:p>
        </w:tc>
        <w:tc>
          <w:tcPr>
            <w:tcW w:w="985" w:type="dxa"/>
            <w:tcBorders>
              <w:top w:val="nil"/>
              <w:left w:val="nil"/>
              <w:bottom w:val="nil"/>
              <w:right w:val="nil"/>
            </w:tcBorders>
            <w:vAlign w:val="center"/>
          </w:tcPr>
          <w:p w14:paraId="00B6E6C3" w14:textId="35439648" w:rsidR="00202E9F" w:rsidRPr="0032189D" w:rsidRDefault="00202E9F" w:rsidP="00FC25AA">
            <w:pPr>
              <w:pStyle w:val="ACLTextFirstLine"/>
              <w:spacing w:line="240" w:lineRule="auto"/>
              <w:ind w:firstLine="0"/>
              <w:jc w:val="center"/>
              <w:rPr>
                <w:sz w:val="20"/>
                <w:szCs w:val="20"/>
              </w:rPr>
            </w:pPr>
            <w:r w:rsidRPr="0032189D">
              <w:rPr>
                <w:color w:val="000000"/>
                <w:sz w:val="20"/>
                <w:szCs w:val="20"/>
              </w:rPr>
              <w:t>13,573</w:t>
            </w:r>
          </w:p>
        </w:tc>
      </w:tr>
      <w:tr w:rsidR="00202E9F" w:rsidRPr="0032189D" w14:paraId="6ACD53C1" w14:textId="77777777" w:rsidTr="002E0BAD">
        <w:tc>
          <w:tcPr>
            <w:tcW w:w="612" w:type="dxa"/>
            <w:tcBorders>
              <w:top w:val="nil"/>
              <w:left w:val="nil"/>
              <w:bottom w:val="nil"/>
              <w:right w:val="nil"/>
            </w:tcBorders>
            <w:vAlign w:val="center"/>
          </w:tcPr>
          <w:p w14:paraId="65D80F2C" w14:textId="7CE9273D" w:rsidR="00202E9F" w:rsidRPr="0032189D" w:rsidRDefault="00202E9F" w:rsidP="00202E9F">
            <w:pPr>
              <w:pStyle w:val="ACLTextFirstLine"/>
              <w:spacing w:line="240" w:lineRule="auto"/>
              <w:ind w:firstLine="0"/>
              <w:rPr>
                <w:sz w:val="20"/>
                <w:szCs w:val="20"/>
              </w:rPr>
            </w:pPr>
            <w:r w:rsidRPr="0032189D">
              <w:rPr>
                <w:color w:val="000000"/>
                <w:sz w:val="20"/>
                <w:szCs w:val="20"/>
              </w:rPr>
              <w:lastRenderedPageBreak/>
              <w:t>5</w:t>
            </w:r>
          </w:p>
        </w:tc>
        <w:tc>
          <w:tcPr>
            <w:tcW w:w="1669" w:type="dxa"/>
            <w:tcBorders>
              <w:top w:val="nil"/>
              <w:left w:val="nil"/>
              <w:bottom w:val="nil"/>
              <w:right w:val="nil"/>
            </w:tcBorders>
            <w:vAlign w:val="center"/>
          </w:tcPr>
          <w:p w14:paraId="2CCAF4BF" w14:textId="17933C42" w:rsidR="00202E9F" w:rsidRPr="0032189D" w:rsidRDefault="00202E9F" w:rsidP="00202E9F">
            <w:pPr>
              <w:pStyle w:val="ACLTextFirstLine"/>
              <w:spacing w:line="240" w:lineRule="auto"/>
              <w:ind w:firstLine="0"/>
              <w:rPr>
                <w:sz w:val="20"/>
                <w:szCs w:val="20"/>
              </w:rPr>
            </w:pPr>
            <w:r w:rsidRPr="0032189D">
              <w:rPr>
                <w:color w:val="000000"/>
                <w:sz w:val="20"/>
                <w:szCs w:val="20"/>
              </w:rPr>
              <w:t>Incident Response</w:t>
            </w:r>
          </w:p>
        </w:tc>
        <w:tc>
          <w:tcPr>
            <w:tcW w:w="960" w:type="dxa"/>
            <w:tcBorders>
              <w:top w:val="nil"/>
              <w:left w:val="nil"/>
              <w:bottom w:val="nil"/>
              <w:right w:val="nil"/>
            </w:tcBorders>
            <w:vAlign w:val="center"/>
          </w:tcPr>
          <w:p w14:paraId="011C18E2" w14:textId="067B7570" w:rsidR="00202E9F" w:rsidRPr="0032189D" w:rsidRDefault="00202E9F" w:rsidP="00FC25AA">
            <w:pPr>
              <w:pStyle w:val="ACLTextFirstLine"/>
              <w:spacing w:line="240" w:lineRule="auto"/>
              <w:ind w:firstLine="0"/>
              <w:jc w:val="center"/>
              <w:rPr>
                <w:sz w:val="20"/>
                <w:szCs w:val="20"/>
              </w:rPr>
            </w:pPr>
            <w:r w:rsidRPr="0032189D">
              <w:rPr>
                <w:color w:val="000000"/>
                <w:sz w:val="20"/>
                <w:szCs w:val="20"/>
              </w:rPr>
              <w:t>3</w:t>
            </w:r>
          </w:p>
        </w:tc>
        <w:tc>
          <w:tcPr>
            <w:tcW w:w="985" w:type="dxa"/>
            <w:tcBorders>
              <w:top w:val="nil"/>
              <w:left w:val="nil"/>
              <w:bottom w:val="nil"/>
              <w:right w:val="nil"/>
            </w:tcBorders>
            <w:vAlign w:val="center"/>
          </w:tcPr>
          <w:p w14:paraId="2DF3533F" w14:textId="49550BC6" w:rsidR="00202E9F" w:rsidRPr="0032189D" w:rsidRDefault="00202E9F" w:rsidP="00FC25AA">
            <w:pPr>
              <w:pStyle w:val="ACLTextFirstLine"/>
              <w:spacing w:line="240" w:lineRule="auto"/>
              <w:ind w:firstLine="0"/>
              <w:jc w:val="center"/>
              <w:rPr>
                <w:sz w:val="20"/>
                <w:szCs w:val="20"/>
              </w:rPr>
            </w:pPr>
            <w:r w:rsidRPr="0032189D">
              <w:rPr>
                <w:color w:val="000000"/>
                <w:sz w:val="20"/>
                <w:szCs w:val="20"/>
              </w:rPr>
              <w:t>13,721</w:t>
            </w:r>
          </w:p>
        </w:tc>
      </w:tr>
      <w:tr w:rsidR="00202E9F" w:rsidRPr="0032189D" w14:paraId="3ECD96DE" w14:textId="77777777" w:rsidTr="002E0BAD">
        <w:tc>
          <w:tcPr>
            <w:tcW w:w="612" w:type="dxa"/>
            <w:tcBorders>
              <w:top w:val="nil"/>
              <w:left w:val="nil"/>
              <w:bottom w:val="single" w:sz="4" w:space="0" w:color="auto"/>
              <w:right w:val="nil"/>
            </w:tcBorders>
            <w:vAlign w:val="center"/>
          </w:tcPr>
          <w:p w14:paraId="6212FD79" w14:textId="5EB18CB6" w:rsidR="00202E9F" w:rsidRPr="0032189D" w:rsidRDefault="00202E9F" w:rsidP="00202E9F">
            <w:pPr>
              <w:pStyle w:val="ACLTextFirstLine"/>
              <w:spacing w:line="240" w:lineRule="auto"/>
              <w:ind w:firstLine="0"/>
              <w:rPr>
                <w:sz w:val="20"/>
                <w:szCs w:val="20"/>
              </w:rPr>
            </w:pPr>
            <w:r w:rsidRPr="0032189D">
              <w:rPr>
                <w:color w:val="000000"/>
                <w:sz w:val="20"/>
                <w:szCs w:val="20"/>
              </w:rPr>
              <w:t>6</w:t>
            </w:r>
          </w:p>
        </w:tc>
        <w:tc>
          <w:tcPr>
            <w:tcW w:w="1669" w:type="dxa"/>
            <w:tcBorders>
              <w:top w:val="nil"/>
              <w:left w:val="nil"/>
              <w:bottom w:val="single" w:sz="4" w:space="0" w:color="auto"/>
              <w:right w:val="nil"/>
            </w:tcBorders>
            <w:vAlign w:val="center"/>
          </w:tcPr>
          <w:p w14:paraId="0D92F1D6" w14:textId="5C6FFD87" w:rsidR="00202E9F" w:rsidRPr="0032189D" w:rsidRDefault="00202E9F" w:rsidP="00202E9F">
            <w:pPr>
              <w:pStyle w:val="ACLTextFirstLine"/>
              <w:spacing w:line="240" w:lineRule="auto"/>
              <w:ind w:firstLine="0"/>
              <w:rPr>
                <w:sz w:val="20"/>
                <w:szCs w:val="20"/>
              </w:rPr>
            </w:pPr>
            <w:r w:rsidRPr="0032189D">
              <w:rPr>
                <w:color w:val="000000"/>
                <w:sz w:val="20"/>
                <w:szCs w:val="20"/>
              </w:rPr>
              <w:t>Cloud Security</w:t>
            </w:r>
          </w:p>
        </w:tc>
        <w:tc>
          <w:tcPr>
            <w:tcW w:w="960" w:type="dxa"/>
            <w:tcBorders>
              <w:top w:val="nil"/>
              <w:left w:val="nil"/>
              <w:bottom w:val="single" w:sz="4" w:space="0" w:color="auto"/>
              <w:right w:val="nil"/>
            </w:tcBorders>
            <w:vAlign w:val="center"/>
          </w:tcPr>
          <w:p w14:paraId="59546147" w14:textId="4F5E14F6" w:rsidR="00202E9F" w:rsidRPr="0032189D" w:rsidRDefault="00202E9F" w:rsidP="00FC25AA">
            <w:pPr>
              <w:pStyle w:val="ACLTextFirstLine"/>
              <w:spacing w:line="240" w:lineRule="auto"/>
              <w:ind w:firstLine="0"/>
              <w:jc w:val="center"/>
              <w:rPr>
                <w:sz w:val="20"/>
                <w:szCs w:val="20"/>
              </w:rPr>
            </w:pPr>
            <w:r w:rsidRPr="0032189D">
              <w:rPr>
                <w:color w:val="000000"/>
                <w:sz w:val="20"/>
                <w:szCs w:val="20"/>
              </w:rPr>
              <w:t>2</w:t>
            </w:r>
          </w:p>
        </w:tc>
        <w:tc>
          <w:tcPr>
            <w:tcW w:w="985" w:type="dxa"/>
            <w:tcBorders>
              <w:top w:val="nil"/>
              <w:left w:val="nil"/>
              <w:bottom w:val="single" w:sz="4" w:space="0" w:color="auto"/>
              <w:right w:val="nil"/>
            </w:tcBorders>
            <w:vAlign w:val="center"/>
          </w:tcPr>
          <w:p w14:paraId="1524C606" w14:textId="6756F0F0" w:rsidR="00202E9F" w:rsidRPr="0032189D" w:rsidRDefault="00202E9F" w:rsidP="00FC25AA">
            <w:pPr>
              <w:pStyle w:val="ACLTextFirstLine"/>
              <w:spacing w:line="240" w:lineRule="auto"/>
              <w:ind w:firstLine="0"/>
              <w:jc w:val="center"/>
              <w:rPr>
                <w:sz w:val="20"/>
                <w:szCs w:val="20"/>
              </w:rPr>
            </w:pPr>
            <w:r w:rsidRPr="0032189D">
              <w:rPr>
                <w:color w:val="000000"/>
                <w:sz w:val="20"/>
                <w:szCs w:val="20"/>
              </w:rPr>
              <w:t>7,254</w:t>
            </w:r>
          </w:p>
        </w:tc>
      </w:tr>
      <w:tr w:rsidR="00202E9F" w:rsidRPr="0032189D" w14:paraId="30194132" w14:textId="77777777" w:rsidTr="002E0BAD">
        <w:tc>
          <w:tcPr>
            <w:tcW w:w="612" w:type="dxa"/>
            <w:tcBorders>
              <w:top w:val="single" w:sz="4" w:space="0" w:color="auto"/>
              <w:left w:val="nil"/>
              <w:bottom w:val="single" w:sz="4" w:space="0" w:color="auto"/>
              <w:right w:val="nil"/>
            </w:tcBorders>
            <w:vAlign w:val="center"/>
          </w:tcPr>
          <w:p w14:paraId="766DDFDA" w14:textId="77777777" w:rsidR="00202E9F" w:rsidRPr="0032189D" w:rsidRDefault="00202E9F" w:rsidP="00202E9F">
            <w:pPr>
              <w:pStyle w:val="ACLTextFirstLine"/>
              <w:spacing w:line="240" w:lineRule="auto"/>
              <w:ind w:firstLine="0"/>
              <w:rPr>
                <w:color w:val="000000"/>
                <w:sz w:val="20"/>
                <w:szCs w:val="20"/>
              </w:rPr>
            </w:pPr>
          </w:p>
        </w:tc>
        <w:tc>
          <w:tcPr>
            <w:tcW w:w="1669" w:type="dxa"/>
            <w:tcBorders>
              <w:top w:val="single" w:sz="4" w:space="0" w:color="auto"/>
              <w:left w:val="nil"/>
              <w:bottom w:val="single" w:sz="4" w:space="0" w:color="auto"/>
              <w:right w:val="nil"/>
            </w:tcBorders>
            <w:vAlign w:val="center"/>
          </w:tcPr>
          <w:p w14:paraId="7031A1BB" w14:textId="0BCD8AF0" w:rsidR="00202E9F" w:rsidRPr="0032189D" w:rsidRDefault="00202E9F" w:rsidP="00202E9F">
            <w:pPr>
              <w:pStyle w:val="ACLTextFirstLine"/>
              <w:spacing w:line="240" w:lineRule="auto"/>
              <w:ind w:firstLine="0"/>
              <w:rPr>
                <w:b/>
                <w:bCs/>
                <w:color w:val="000000"/>
                <w:sz w:val="20"/>
                <w:szCs w:val="20"/>
              </w:rPr>
            </w:pPr>
            <w:r w:rsidRPr="0032189D">
              <w:rPr>
                <w:b/>
                <w:bCs/>
                <w:color w:val="000000"/>
                <w:sz w:val="20"/>
                <w:szCs w:val="20"/>
              </w:rPr>
              <w:t>Total</w:t>
            </w:r>
          </w:p>
        </w:tc>
        <w:tc>
          <w:tcPr>
            <w:tcW w:w="960" w:type="dxa"/>
            <w:tcBorders>
              <w:top w:val="single" w:sz="4" w:space="0" w:color="auto"/>
              <w:left w:val="nil"/>
              <w:bottom w:val="single" w:sz="4" w:space="0" w:color="auto"/>
              <w:right w:val="nil"/>
            </w:tcBorders>
            <w:vAlign w:val="center"/>
          </w:tcPr>
          <w:p w14:paraId="3B168695" w14:textId="3F1FA625" w:rsidR="00202E9F" w:rsidRPr="0032189D" w:rsidRDefault="00202E9F" w:rsidP="00202E9F">
            <w:pPr>
              <w:pStyle w:val="ACLTextFirstLine"/>
              <w:spacing w:line="240" w:lineRule="auto"/>
              <w:ind w:firstLine="0"/>
              <w:rPr>
                <w:color w:val="000000"/>
                <w:sz w:val="20"/>
                <w:szCs w:val="20"/>
              </w:rPr>
            </w:pPr>
            <w:r w:rsidRPr="0032189D">
              <w:rPr>
                <w:rStyle w:val="Strong"/>
                <w:color w:val="000000"/>
                <w:sz w:val="20"/>
                <w:szCs w:val="20"/>
              </w:rPr>
              <w:t>21</w:t>
            </w:r>
          </w:p>
        </w:tc>
        <w:tc>
          <w:tcPr>
            <w:tcW w:w="985" w:type="dxa"/>
            <w:tcBorders>
              <w:top w:val="single" w:sz="4" w:space="0" w:color="auto"/>
              <w:left w:val="nil"/>
              <w:bottom w:val="single" w:sz="4" w:space="0" w:color="auto"/>
              <w:right w:val="nil"/>
            </w:tcBorders>
            <w:vAlign w:val="center"/>
          </w:tcPr>
          <w:p w14:paraId="6A35E183" w14:textId="74AE717A" w:rsidR="00202E9F" w:rsidRPr="0032189D" w:rsidRDefault="00202E9F" w:rsidP="00202E9F">
            <w:pPr>
              <w:pStyle w:val="ACLTextFirstLine"/>
              <w:spacing w:line="240" w:lineRule="auto"/>
              <w:ind w:firstLine="0"/>
              <w:rPr>
                <w:color w:val="000000"/>
                <w:sz w:val="20"/>
                <w:szCs w:val="20"/>
              </w:rPr>
            </w:pPr>
            <w:r w:rsidRPr="0032189D">
              <w:rPr>
                <w:rStyle w:val="Strong"/>
                <w:color w:val="000000"/>
                <w:sz w:val="20"/>
                <w:szCs w:val="20"/>
              </w:rPr>
              <w:t>147,598</w:t>
            </w:r>
          </w:p>
        </w:tc>
      </w:tr>
    </w:tbl>
    <w:p w14:paraId="04AACC55" w14:textId="4E184C16" w:rsidR="002E0BAD" w:rsidRPr="00471846" w:rsidRDefault="002E0BAD" w:rsidP="002E0BAD">
      <w:pPr>
        <w:pStyle w:val="Caption"/>
        <w:framePr w:hSpace="0" w:wrap="auto" w:xAlign="left" w:yAlign="inline"/>
        <w:suppressOverlap w:val="0"/>
      </w:pPr>
      <w:r w:rsidRPr="00471846">
        <w:t xml:space="preserve">Table </w:t>
      </w:r>
      <w:fldSimple w:instr=" SEQ Table \* ARABIC ">
        <w:r w:rsidR="000B0AD5">
          <w:rPr>
            <w:noProof/>
          </w:rPr>
          <w:t>1</w:t>
        </w:r>
      </w:fldSimple>
      <w:r w:rsidRPr="00471846">
        <w:t xml:space="preserve">:  </w:t>
      </w:r>
      <w:r>
        <w:t>Curriculum Structure</w:t>
      </w:r>
      <w:r w:rsidRPr="00471846">
        <w:t>.</w:t>
      </w:r>
    </w:p>
    <w:p w14:paraId="2A2170F2" w14:textId="261AD330" w:rsidR="00202E9F" w:rsidRPr="007556A7" w:rsidRDefault="008B7081" w:rsidP="00202E9F">
      <w:pPr>
        <w:pStyle w:val="ACLTextFirstLine"/>
        <w:rPr>
          <w:sz w:val="22"/>
          <w:szCs w:val="22"/>
        </w:rPr>
      </w:pPr>
      <w:r w:rsidRPr="007556A7">
        <w:rPr>
          <w:sz w:val="22"/>
          <w:szCs w:val="22"/>
        </w:rPr>
        <w:t>Data is arranged in a difficulty-based curriculum (Bengio et al., 2009): the model first encounters all 21 courses at easy level, then difficult, then hard. Within each difficulty level, courses are presented in tier order (1→6).</w:t>
      </w:r>
    </w:p>
    <w:p w14:paraId="2EA3D9D5" w14:textId="616DD16B" w:rsidR="007E7BE9" w:rsidRDefault="007E7BE9" w:rsidP="007E7BE9">
      <w:pPr>
        <w:pStyle w:val="ACLSubsection"/>
      </w:pPr>
      <w:r>
        <w:t>Models</w:t>
      </w:r>
    </w:p>
    <w:p w14:paraId="7D9B9CA7" w14:textId="7FA9E14D" w:rsidR="00541AC0" w:rsidRPr="007556A7" w:rsidRDefault="00715AAD" w:rsidP="00D10268">
      <w:pPr>
        <w:pStyle w:val="ACLTextFirstLine"/>
        <w:ind w:firstLine="0"/>
        <w:rPr>
          <w:sz w:val="22"/>
          <w:szCs w:val="22"/>
        </w:rPr>
      </w:pPr>
      <w:r w:rsidRPr="007556A7">
        <w:rPr>
          <w:sz w:val="22"/>
          <w:szCs w:val="22"/>
        </w:rPr>
        <w:t>We fine-tune three instruction-tuned models selected for resource-constrained deployment:</w:t>
      </w:r>
    </w:p>
    <w:p w14:paraId="26B03375" w14:textId="77777777" w:rsidR="00FA79E4" w:rsidRDefault="00FA79E4" w:rsidP="007E7BE9">
      <w:pPr>
        <w:pStyle w:val="ACLTextFirstLine"/>
      </w:pPr>
    </w:p>
    <w:tbl>
      <w:tblPr>
        <w:tblStyle w:val="TableGrid"/>
        <w:tblW w:w="0" w:type="auto"/>
        <w:tblLook w:val="04A0" w:firstRow="1" w:lastRow="0" w:firstColumn="1" w:lastColumn="0" w:noHBand="0" w:noVBand="1"/>
      </w:tblPr>
      <w:tblGrid>
        <w:gridCol w:w="1040"/>
        <w:gridCol w:w="1059"/>
        <w:gridCol w:w="1213"/>
        <w:gridCol w:w="1041"/>
      </w:tblGrid>
      <w:tr w:rsidR="00715AAD" w:rsidRPr="0032189D" w14:paraId="07848F24" w14:textId="77777777" w:rsidTr="00715AAD">
        <w:trPr>
          <w:trHeight w:val="172"/>
        </w:trPr>
        <w:tc>
          <w:tcPr>
            <w:tcW w:w="1040" w:type="dxa"/>
            <w:tcBorders>
              <w:top w:val="single" w:sz="4" w:space="0" w:color="auto"/>
              <w:left w:val="nil"/>
              <w:bottom w:val="single" w:sz="4" w:space="0" w:color="auto"/>
              <w:right w:val="nil"/>
            </w:tcBorders>
            <w:vAlign w:val="center"/>
          </w:tcPr>
          <w:p w14:paraId="2A522AD2" w14:textId="3FA90B9A" w:rsidR="00715AAD" w:rsidRPr="0032189D" w:rsidRDefault="00715AAD" w:rsidP="00715AAD">
            <w:pPr>
              <w:pStyle w:val="ACLTextFirstLine"/>
              <w:ind w:firstLine="0"/>
              <w:rPr>
                <w:sz w:val="20"/>
                <w:szCs w:val="20"/>
              </w:rPr>
            </w:pPr>
            <w:r w:rsidRPr="0032189D">
              <w:rPr>
                <w:b/>
                <w:bCs/>
                <w:color w:val="000000"/>
                <w:sz w:val="20"/>
                <w:szCs w:val="20"/>
              </w:rPr>
              <w:t>Model</w:t>
            </w:r>
          </w:p>
        </w:tc>
        <w:tc>
          <w:tcPr>
            <w:tcW w:w="1059" w:type="dxa"/>
            <w:tcBorders>
              <w:top w:val="single" w:sz="4" w:space="0" w:color="auto"/>
              <w:left w:val="nil"/>
              <w:bottom w:val="single" w:sz="4" w:space="0" w:color="auto"/>
              <w:right w:val="nil"/>
            </w:tcBorders>
            <w:vAlign w:val="center"/>
          </w:tcPr>
          <w:p w14:paraId="2D4196AD" w14:textId="7599E478" w:rsidR="00715AAD" w:rsidRPr="0032189D" w:rsidRDefault="00715AAD" w:rsidP="00715AAD">
            <w:pPr>
              <w:pStyle w:val="ACLTextFirstLine"/>
              <w:ind w:firstLine="0"/>
              <w:rPr>
                <w:sz w:val="20"/>
                <w:szCs w:val="20"/>
              </w:rPr>
            </w:pPr>
            <w:r w:rsidRPr="0032189D">
              <w:rPr>
                <w:b/>
                <w:bCs/>
                <w:color w:val="000000"/>
                <w:sz w:val="20"/>
                <w:szCs w:val="20"/>
              </w:rPr>
              <w:t>Params.</w:t>
            </w:r>
          </w:p>
        </w:tc>
        <w:tc>
          <w:tcPr>
            <w:tcW w:w="1213" w:type="dxa"/>
            <w:tcBorders>
              <w:top w:val="single" w:sz="4" w:space="0" w:color="auto"/>
              <w:left w:val="nil"/>
              <w:bottom w:val="single" w:sz="4" w:space="0" w:color="auto"/>
              <w:right w:val="nil"/>
            </w:tcBorders>
            <w:vAlign w:val="center"/>
          </w:tcPr>
          <w:p w14:paraId="483E4343" w14:textId="3A5871E7" w:rsidR="00715AAD" w:rsidRPr="0032189D" w:rsidRDefault="00715AAD" w:rsidP="00715AAD">
            <w:pPr>
              <w:pStyle w:val="ACLTextFirstLine"/>
              <w:ind w:firstLine="0"/>
              <w:rPr>
                <w:sz w:val="20"/>
                <w:szCs w:val="20"/>
              </w:rPr>
            </w:pPr>
            <w:r w:rsidRPr="0032189D">
              <w:rPr>
                <w:b/>
                <w:bCs/>
                <w:color w:val="000000"/>
                <w:sz w:val="20"/>
                <w:szCs w:val="20"/>
              </w:rPr>
              <w:t>Pre-training</w:t>
            </w:r>
          </w:p>
        </w:tc>
        <w:tc>
          <w:tcPr>
            <w:tcW w:w="1041" w:type="dxa"/>
            <w:tcBorders>
              <w:top w:val="single" w:sz="4" w:space="0" w:color="auto"/>
              <w:left w:val="nil"/>
              <w:bottom w:val="single" w:sz="4" w:space="0" w:color="auto"/>
              <w:right w:val="nil"/>
            </w:tcBorders>
            <w:vAlign w:val="center"/>
          </w:tcPr>
          <w:p w14:paraId="17A74812" w14:textId="6E168CB2" w:rsidR="00715AAD" w:rsidRPr="0032189D" w:rsidRDefault="00715AAD" w:rsidP="00715AAD">
            <w:pPr>
              <w:pStyle w:val="ACLTextFirstLine"/>
              <w:ind w:firstLine="0"/>
              <w:rPr>
                <w:sz w:val="20"/>
                <w:szCs w:val="20"/>
              </w:rPr>
            </w:pPr>
            <w:r w:rsidRPr="0032189D">
              <w:rPr>
                <w:b/>
                <w:bCs/>
                <w:color w:val="000000"/>
                <w:sz w:val="20"/>
                <w:szCs w:val="20"/>
              </w:rPr>
              <w:t>Source</w:t>
            </w:r>
          </w:p>
        </w:tc>
      </w:tr>
      <w:tr w:rsidR="00715AAD" w:rsidRPr="0032189D" w14:paraId="74144A4D" w14:textId="77777777" w:rsidTr="00715AAD">
        <w:tc>
          <w:tcPr>
            <w:tcW w:w="1040" w:type="dxa"/>
            <w:tcBorders>
              <w:top w:val="single" w:sz="4" w:space="0" w:color="auto"/>
              <w:left w:val="nil"/>
              <w:bottom w:val="nil"/>
              <w:right w:val="nil"/>
            </w:tcBorders>
            <w:vAlign w:val="center"/>
          </w:tcPr>
          <w:p w14:paraId="03741F30" w14:textId="72208A70" w:rsidR="00715AAD" w:rsidRPr="0032189D" w:rsidRDefault="00715AAD" w:rsidP="00715AAD">
            <w:pPr>
              <w:pStyle w:val="ACLTextFirstLine"/>
              <w:ind w:firstLine="0"/>
              <w:rPr>
                <w:sz w:val="20"/>
                <w:szCs w:val="20"/>
              </w:rPr>
            </w:pPr>
            <w:r w:rsidRPr="0032189D">
              <w:rPr>
                <w:color w:val="000000"/>
                <w:sz w:val="20"/>
                <w:szCs w:val="20"/>
              </w:rPr>
              <w:t>Gemma 2 2B IT</w:t>
            </w:r>
          </w:p>
        </w:tc>
        <w:tc>
          <w:tcPr>
            <w:tcW w:w="1059" w:type="dxa"/>
            <w:tcBorders>
              <w:top w:val="single" w:sz="4" w:space="0" w:color="auto"/>
              <w:left w:val="nil"/>
              <w:bottom w:val="nil"/>
              <w:right w:val="nil"/>
            </w:tcBorders>
            <w:vAlign w:val="center"/>
          </w:tcPr>
          <w:p w14:paraId="18DD3661" w14:textId="656BDB9A" w:rsidR="00715AAD" w:rsidRPr="0032189D" w:rsidRDefault="00715AAD" w:rsidP="00715AAD">
            <w:pPr>
              <w:pStyle w:val="ACLTextFirstLine"/>
              <w:ind w:firstLine="0"/>
              <w:rPr>
                <w:sz w:val="20"/>
                <w:szCs w:val="20"/>
              </w:rPr>
            </w:pPr>
            <w:r w:rsidRPr="0032189D">
              <w:rPr>
                <w:color w:val="000000"/>
                <w:sz w:val="20"/>
                <w:szCs w:val="20"/>
              </w:rPr>
              <w:t>2.0B</w:t>
            </w:r>
          </w:p>
        </w:tc>
        <w:tc>
          <w:tcPr>
            <w:tcW w:w="1213" w:type="dxa"/>
            <w:tcBorders>
              <w:top w:val="single" w:sz="4" w:space="0" w:color="auto"/>
              <w:left w:val="nil"/>
              <w:bottom w:val="nil"/>
              <w:right w:val="nil"/>
            </w:tcBorders>
            <w:vAlign w:val="center"/>
          </w:tcPr>
          <w:p w14:paraId="797BD4B7" w14:textId="75D498F4" w:rsidR="00715AAD" w:rsidRPr="0032189D" w:rsidRDefault="00715AAD" w:rsidP="00715AAD">
            <w:pPr>
              <w:pStyle w:val="ACLTextFirstLine"/>
              <w:ind w:firstLine="0"/>
              <w:rPr>
                <w:sz w:val="20"/>
                <w:szCs w:val="20"/>
              </w:rPr>
            </w:pPr>
            <w:r w:rsidRPr="0032189D">
              <w:rPr>
                <w:color w:val="000000"/>
                <w:sz w:val="20"/>
                <w:szCs w:val="20"/>
              </w:rPr>
              <w:t>Knowledge Distillation</w:t>
            </w:r>
          </w:p>
        </w:tc>
        <w:tc>
          <w:tcPr>
            <w:tcW w:w="1041" w:type="dxa"/>
            <w:tcBorders>
              <w:top w:val="single" w:sz="4" w:space="0" w:color="auto"/>
              <w:left w:val="nil"/>
              <w:bottom w:val="nil"/>
              <w:right w:val="nil"/>
            </w:tcBorders>
            <w:vAlign w:val="center"/>
          </w:tcPr>
          <w:p w14:paraId="1E9C7A80" w14:textId="77FCCC10" w:rsidR="00715AAD" w:rsidRPr="0032189D" w:rsidRDefault="00715AAD" w:rsidP="00715AAD">
            <w:pPr>
              <w:pStyle w:val="ACLTextFirstLine"/>
              <w:ind w:firstLine="0"/>
              <w:rPr>
                <w:sz w:val="20"/>
                <w:szCs w:val="20"/>
              </w:rPr>
            </w:pPr>
            <w:r w:rsidRPr="0032189D">
              <w:rPr>
                <w:color w:val="000000"/>
                <w:sz w:val="20"/>
                <w:szCs w:val="20"/>
              </w:rPr>
              <w:t>Gemma Team (2024)</w:t>
            </w:r>
          </w:p>
        </w:tc>
      </w:tr>
      <w:tr w:rsidR="00715AAD" w:rsidRPr="0032189D" w14:paraId="3F318D92" w14:textId="77777777" w:rsidTr="00715AAD">
        <w:tc>
          <w:tcPr>
            <w:tcW w:w="1040" w:type="dxa"/>
            <w:tcBorders>
              <w:top w:val="nil"/>
              <w:left w:val="nil"/>
              <w:bottom w:val="nil"/>
              <w:right w:val="nil"/>
            </w:tcBorders>
            <w:vAlign w:val="center"/>
          </w:tcPr>
          <w:p w14:paraId="497368F4" w14:textId="382D7295" w:rsidR="00715AAD" w:rsidRPr="0032189D" w:rsidRDefault="00715AAD" w:rsidP="00715AAD">
            <w:pPr>
              <w:pStyle w:val="ACLTextFirstLine"/>
              <w:ind w:firstLine="0"/>
              <w:rPr>
                <w:sz w:val="20"/>
                <w:szCs w:val="20"/>
              </w:rPr>
            </w:pPr>
            <w:r w:rsidRPr="0032189D">
              <w:rPr>
                <w:color w:val="000000"/>
                <w:sz w:val="20"/>
                <w:szCs w:val="20"/>
              </w:rPr>
              <w:t>Phi-3.5 Mini Instruct</w:t>
            </w:r>
          </w:p>
        </w:tc>
        <w:tc>
          <w:tcPr>
            <w:tcW w:w="1059" w:type="dxa"/>
            <w:tcBorders>
              <w:top w:val="nil"/>
              <w:left w:val="nil"/>
              <w:bottom w:val="nil"/>
              <w:right w:val="nil"/>
            </w:tcBorders>
            <w:vAlign w:val="center"/>
          </w:tcPr>
          <w:p w14:paraId="6B8E3194" w14:textId="42917FD7" w:rsidR="00715AAD" w:rsidRPr="0032189D" w:rsidRDefault="00715AAD" w:rsidP="00715AAD">
            <w:pPr>
              <w:pStyle w:val="ACLTextFirstLine"/>
              <w:ind w:firstLine="0"/>
              <w:rPr>
                <w:sz w:val="20"/>
                <w:szCs w:val="20"/>
              </w:rPr>
            </w:pPr>
            <w:r w:rsidRPr="0032189D">
              <w:rPr>
                <w:color w:val="000000"/>
                <w:sz w:val="20"/>
                <w:szCs w:val="20"/>
              </w:rPr>
              <w:t>3.8B</w:t>
            </w:r>
          </w:p>
        </w:tc>
        <w:tc>
          <w:tcPr>
            <w:tcW w:w="1213" w:type="dxa"/>
            <w:tcBorders>
              <w:top w:val="nil"/>
              <w:left w:val="nil"/>
              <w:bottom w:val="nil"/>
              <w:right w:val="nil"/>
            </w:tcBorders>
            <w:vAlign w:val="center"/>
          </w:tcPr>
          <w:p w14:paraId="4910EBE8" w14:textId="62E24068" w:rsidR="00715AAD" w:rsidRPr="0032189D" w:rsidRDefault="00715AAD" w:rsidP="00715AAD">
            <w:pPr>
              <w:pStyle w:val="ACLTextFirstLine"/>
              <w:ind w:firstLine="0"/>
              <w:rPr>
                <w:sz w:val="20"/>
                <w:szCs w:val="20"/>
              </w:rPr>
            </w:pPr>
            <w:r w:rsidRPr="0032189D">
              <w:rPr>
                <w:color w:val="000000"/>
                <w:sz w:val="20"/>
                <w:szCs w:val="20"/>
              </w:rPr>
              <w:t>Next-Token Prediction</w:t>
            </w:r>
          </w:p>
        </w:tc>
        <w:tc>
          <w:tcPr>
            <w:tcW w:w="1041" w:type="dxa"/>
            <w:tcBorders>
              <w:top w:val="nil"/>
              <w:left w:val="nil"/>
              <w:bottom w:val="nil"/>
              <w:right w:val="nil"/>
            </w:tcBorders>
            <w:vAlign w:val="center"/>
          </w:tcPr>
          <w:p w14:paraId="293707C3" w14:textId="1CCDC5CD" w:rsidR="00715AAD" w:rsidRPr="0032189D" w:rsidRDefault="00715AAD" w:rsidP="00715AAD">
            <w:pPr>
              <w:pStyle w:val="ACLTextFirstLine"/>
              <w:ind w:firstLine="0"/>
              <w:rPr>
                <w:sz w:val="20"/>
                <w:szCs w:val="20"/>
              </w:rPr>
            </w:pPr>
            <w:r w:rsidRPr="0032189D">
              <w:rPr>
                <w:color w:val="000000"/>
                <w:sz w:val="20"/>
                <w:szCs w:val="20"/>
              </w:rPr>
              <w:t>Abdin et al. (2024)</w:t>
            </w:r>
          </w:p>
        </w:tc>
      </w:tr>
      <w:tr w:rsidR="00715AAD" w:rsidRPr="0032189D" w14:paraId="5A789D35" w14:textId="77777777" w:rsidTr="00715AAD">
        <w:tc>
          <w:tcPr>
            <w:tcW w:w="1040" w:type="dxa"/>
            <w:tcBorders>
              <w:top w:val="nil"/>
              <w:left w:val="nil"/>
              <w:bottom w:val="single" w:sz="4" w:space="0" w:color="auto"/>
              <w:right w:val="nil"/>
            </w:tcBorders>
            <w:vAlign w:val="center"/>
          </w:tcPr>
          <w:p w14:paraId="6B10E9AF" w14:textId="1D2A1228" w:rsidR="00715AAD" w:rsidRPr="0032189D" w:rsidRDefault="00715AAD" w:rsidP="00715AAD">
            <w:pPr>
              <w:pStyle w:val="ACLTextFirstLine"/>
              <w:ind w:firstLine="0"/>
              <w:rPr>
                <w:sz w:val="20"/>
                <w:szCs w:val="20"/>
              </w:rPr>
            </w:pPr>
            <w:r w:rsidRPr="0032189D">
              <w:rPr>
                <w:color w:val="000000"/>
                <w:sz w:val="20"/>
                <w:szCs w:val="20"/>
              </w:rPr>
              <w:t>Llama 3.1 8B Instruct</w:t>
            </w:r>
          </w:p>
        </w:tc>
        <w:tc>
          <w:tcPr>
            <w:tcW w:w="1059" w:type="dxa"/>
            <w:tcBorders>
              <w:top w:val="nil"/>
              <w:left w:val="nil"/>
              <w:bottom w:val="single" w:sz="4" w:space="0" w:color="auto"/>
              <w:right w:val="nil"/>
            </w:tcBorders>
            <w:vAlign w:val="center"/>
          </w:tcPr>
          <w:p w14:paraId="02E1E201" w14:textId="72074359" w:rsidR="00715AAD" w:rsidRPr="0032189D" w:rsidRDefault="00715AAD" w:rsidP="00715AAD">
            <w:pPr>
              <w:pStyle w:val="ACLTextFirstLine"/>
              <w:ind w:firstLine="0"/>
              <w:rPr>
                <w:sz w:val="20"/>
                <w:szCs w:val="20"/>
              </w:rPr>
            </w:pPr>
            <w:r w:rsidRPr="0032189D">
              <w:rPr>
                <w:color w:val="000000"/>
                <w:sz w:val="20"/>
                <w:szCs w:val="20"/>
              </w:rPr>
              <w:t>8.0B</w:t>
            </w:r>
          </w:p>
        </w:tc>
        <w:tc>
          <w:tcPr>
            <w:tcW w:w="1213" w:type="dxa"/>
            <w:tcBorders>
              <w:top w:val="nil"/>
              <w:left w:val="nil"/>
              <w:bottom w:val="single" w:sz="4" w:space="0" w:color="auto"/>
              <w:right w:val="nil"/>
            </w:tcBorders>
            <w:vAlign w:val="center"/>
          </w:tcPr>
          <w:p w14:paraId="2EA7E468" w14:textId="1BAF9DBA" w:rsidR="00715AAD" w:rsidRPr="0032189D" w:rsidRDefault="00715AAD" w:rsidP="00715AAD">
            <w:pPr>
              <w:pStyle w:val="ACLTextFirstLine"/>
              <w:ind w:firstLine="0"/>
              <w:rPr>
                <w:sz w:val="20"/>
                <w:szCs w:val="20"/>
              </w:rPr>
            </w:pPr>
            <w:r w:rsidRPr="0032189D">
              <w:rPr>
                <w:color w:val="000000"/>
                <w:sz w:val="20"/>
                <w:szCs w:val="20"/>
              </w:rPr>
              <w:t>Next-Token Prediction</w:t>
            </w:r>
          </w:p>
        </w:tc>
        <w:tc>
          <w:tcPr>
            <w:tcW w:w="1041" w:type="dxa"/>
            <w:tcBorders>
              <w:top w:val="nil"/>
              <w:left w:val="nil"/>
              <w:bottom w:val="single" w:sz="4" w:space="0" w:color="auto"/>
              <w:right w:val="nil"/>
            </w:tcBorders>
            <w:vAlign w:val="center"/>
          </w:tcPr>
          <w:p w14:paraId="79F22B6B" w14:textId="3B42ADBB" w:rsidR="00715AAD" w:rsidRPr="0032189D" w:rsidRDefault="00715AAD" w:rsidP="00715AAD">
            <w:pPr>
              <w:pStyle w:val="ACLTextFirstLine"/>
              <w:ind w:firstLine="0"/>
              <w:rPr>
                <w:sz w:val="20"/>
                <w:szCs w:val="20"/>
              </w:rPr>
            </w:pPr>
            <w:r w:rsidRPr="0032189D">
              <w:rPr>
                <w:color w:val="000000"/>
                <w:sz w:val="20"/>
                <w:szCs w:val="20"/>
              </w:rPr>
              <w:t>Dubey et al. (2024)</w:t>
            </w:r>
          </w:p>
        </w:tc>
      </w:tr>
    </w:tbl>
    <w:p w14:paraId="37FA5447" w14:textId="542D86B7" w:rsidR="00715AAD" w:rsidRPr="00471846" w:rsidRDefault="00715AAD" w:rsidP="00715AAD">
      <w:pPr>
        <w:pStyle w:val="Caption"/>
        <w:framePr w:hSpace="0" w:wrap="auto" w:xAlign="left" w:yAlign="inline"/>
        <w:suppressOverlap w:val="0"/>
      </w:pPr>
      <w:r w:rsidRPr="00471846">
        <w:t xml:space="preserve">Table </w:t>
      </w:r>
      <w:fldSimple w:instr=" SEQ Table \* ARABIC ">
        <w:r w:rsidR="000B0AD5">
          <w:rPr>
            <w:noProof/>
          </w:rPr>
          <w:t>2</w:t>
        </w:r>
      </w:fldSimple>
      <w:r w:rsidRPr="00471846">
        <w:t xml:space="preserve">:  </w:t>
      </w:r>
      <w:r>
        <w:t>List of the base models fine-tuned</w:t>
      </w:r>
      <w:r w:rsidRPr="00471846">
        <w:t>.</w:t>
      </w:r>
    </w:p>
    <w:p w14:paraId="677962A8" w14:textId="2F02C34B" w:rsidR="00541AC0" w:rsidRPr="007556A7" w:rsidRDefault="005828AD" w:rsidP="00202E9F">
      <w:pPr>
        <w:pStyle w:val="ACLTextFirstLine"/>
        <w:rPr>
          <w:sz w:val="22"/>
          <w:szCs w:val="22"/>
        </w:rPr>
      </w:pPr>
      <w:r w:rsidRPr="007556A7">
        <w:rPr>
          <w:sz w:val="22"/>
          <w:szCs w:val="22"/>
        </w:rPr>
        <w:t>A fourth model, Gemma 3 4B IT, was attempted but failed catastrophically on V100 hardware due to BFloat16 incompatibility.</w:t>
      </w:r>
    </w:p>
    <w:p w14:paraId="46C5C4A5" w14:textId="59BA8370" w:rsidR="006977B7" w:rsidRDefault="006977B7" w:rsidP="006977B7">
      <w:pPr>
        <w:pStyle w:val="ACLSubsection"/>
      </w:pPr>
      <w:r>
        <w:t>Fine-Tuning Configuration</w:t>
      </w:r>
    </w:p>
    <w:p w14:paraId="2C15CFCD" w14:textId="3840F608" w:rsidR="006977B7" w:rsidRDefault="006977B7" w:rsidP="00D10268">
      <w:pPr>
        <w:pStyle w:val="ACLTextFirstLine"/>
        <w:ind w:firstLine="0"/>
        <w:rPr>
          <w:sz w:val="22"/>
          <w:szCs w:val="22"/>
        </w:rPr>
      </w:pPr>
      <w:r w:rsidRPr="007556A7">
        <w:rPr>
          <w:sz w:val="22"/>
          <w:szCs w:val="22"/>
        </w:rPr>
        <w:t>All models use QLoRA (Dettmers et al., 2023): 4-bit NF, LoRA rank 16, α=32, dropout 0.05, all linear layers. Optimization is Paged AdamW 8-bit (Loshchilov &amp; Hutter, 2019) with cosine annealing. We train 1 epoch with effective batch 16 (per-device 4, gradient accumulation 4) on a single V100-32GB, gradient checkpointing enabled, max sequence length 2048:</w:t>
      </w:r>
    </w:p>
    <w:p w14:paraId="17A3AA49" w14:textId="77777777" w:rsidR="00FC441C" w:rsidRPr="007556A7" w:rsidRDefault="00FC441C" w:rsidP="006977B7">
      <w:pPr>
        <w:pStyle w:val="ACLTextFirstLine"/>
        <w:rPr>
          <w:sz w:val="22"/>
          <w:szCs w:val="22"/>
        </w:rPr>
      </w:pPr>
    </w:p>
    <w:tbl>
      <w:tblPr>
        <w:tblStyle w:val="TableGrid"/>
        <w:tblW w:w="4475" w:type="dxa"/>
        <w:tblLayout w:type="fixed"/>
        <w:tblLook w:val="04A0" w:firstRow="1" w:lastRow="0" w:firstColumn="1" w:lastColumn="0" w:noHBand="0" w:noVBand="1"/>
      </w:tblPr>
      <w:tblGrid>
        <w:gridCol w:w="1578"/>
        <w:gridCol w:w="1590"/>
        <w:gridCol w:w="1307"/>
      </w:tblGrid>
      <w:tr w:rsidR="006977B7" w:rsidRPr="0032189D" w14:paraId="00EAC027" w14:textId="77777777" w:rsidTr="006667C6">
        <w:trPr>
          <w:trHeight w:val="218"/>
        </w:trPr>
        <w:tc>
          <w:tcPr>
            <w:tcW w:w="1578" w:type="dxa"/>
            <w:tcBorders>
              <w:top w:val="single" w:sz="4" w:space="0" w:color="auto"/>
              <w:left w:val="nil"/>
              <w:bottom w:val="single" w:sz="4" w:space="0" w:color="auto"/>
              <w:right w:val="nil"/>
            </w:tcBorders>
            <w:vAlign w:val="center"/>
          </w:tcPr>
          <w:p w14:paraId="5BD1A77D" w14:textId="6A6FC1F9" w:rsidR="006977B7" w:rsidRPr="0032189D" w:rsidRDefault="006977B7" w:rsidP="006977B7">
            <w:pPr>
              <w:pStyle w:val="ACLTextFirstLine"/>
              <w:ind w:firstLine="0"/>
              <w:rPr>
                <w:color w:val="000000" w:themeColor="text1"/>
                <w:sz w:val="20"/>
                <w:szCs w:val="20"/>
              </w:rPr>
            </w:pPr>
            <w:r w:rsidRPr="0032189D">
              <w:rPr>
                <w:b/>
                <w:bCs/>
                <w:color w:val="000000" w:themeColor="text1"/>
                <w:sz w:val="20"/>
                <w:szCs w:val="20"/>
              </w:rPr>
              <w:t>Hyper</w:t>
            </w:r>
            <w:r w:rsidR="000059B8">
              <w:rPr>
                <w:b/>
                <w:bCs/>
                <w:color w:val="000000" w:themeColor="text1"/>
                <w:sz w:val="20"/>
                <w:szCs w:val="20"/>
              </w:rPr>
              <w:t>-</w:t>
            </w:r>
            <w:r w:rsidRPr="0032189D">
              <w:rPr>
                <w:b/>
                <w:bCs/>
                <w:color w:val="000000" w:themeColor="text1"/>
                <w:sz w:val="20"/>
                <w:szCs w:val="20"/>
              </w:rPr>
              <w:t>param.</w:t>
            </w:r>
          </w:p>
        </w:tc>
        <w:tc>
          <w:tcPr>
            <w:tcW w:w="1590" w:type="dxa"/>
            <w:tcBorders>
              <w:top w:val="single" w:sz="4" w:space="0" w:color="auto"/>
              <w:left w:val="nil"/>
              <w:bottom w:val="single" w:sz="4" w:space="0" w:color="auto"/>
              <w:right w:val="nil"/>
            </w:tcBorders>
            <w:vAlign w:val="center"/>
          </w:tcPr>
          <w:p w14:paraId="15135335" w14:textId="0FC92195" w:rsidR="006977B7" w:rsidRPr="0032189D" w:rsidRDefault="006977B7" w:rsidP="006977B7">
            <w:pPr>
              <w:pStyle w:val="ACLTextFirstLine"/>
              <w:ind w:firstLine="0"/>
              <w:rPr>
                <w:color w:val="000000" w:themeColor="text1"/>
                <w:sz w:val="20"/>
                <w:szCs w:val="20"/>
              </w:rPr>
            </w:pPr>
            <w:r w:rsidRPr="0032189D">
              <w:rPr>
                <w:b/>
                <w:bCs/>
                <w:color w:val="000000" w:themeColor="text1"/>
                <w:sz w:val="20"/>
                <w:szCs w:val="20"/>
              </w:rPr>
              <w:t>Phi-3.5 / Llama</w:t>
            </w:r>
          </w:p>
        </w:tc>
        <w:tc>
          <w:tcPr>
            <w:tcW w:w="1307" w:type="dxa"/>
            <w:tcBorders>
              <w:top w:val="single" w:sz="4" w:space="0" w:color="auto"/>
              <w:left w:val="nil"/>
              <w:bottom w:val="single" w:sz="4" w:space="0" w:color="auto"/>
              <w:right w:val="nil"/>
            </w:tcBorders>
            <w:vAlign w:val="center"/>
          </w:tcPr>
          <w:p w14:paraId="216BE834" w14:textId="2BC21963" w:rsidR="006977B7" w:rsidRPr="0032189D" w:rsidRDefault="006977B7" w:rsidP="006977B7">
            <w:pPr>
              <w:pStyle w:val="ACLTextFirstLine"/>
              <w:ind w:firstLine="0"/>
              <w:rPr>
                <w:color w:val="000000" w:themeColor="text1"/>
                <w:sz w:val="20"/>
                <w:szCs w:val="20"/>
              </w:rPr>
            </w:pPr>
            <w:r w:rsidRPr="0032189D">
              <w:rPr>
                <w:b/>
                <w:bCs/>
                <w:color w:val="000000" w:themeColor="text1"/>
                <w:sz w:val="20"/>
                <w:szCs w:val="20"/>
              </w:rPr>
              <w:t>Gemma 2</w:t>
            </w:r>
          </w:p>
        </w:tc>
      </w:tr>
      <w:tr w:rsidR="006977B7" w:rsidRPr="0032189D" w14:paraId="7F8370AA" w14:textId="77777777" w:rsidTr="006667C6">
        <w:trPr>
          <w:trHeight w:val="406"/>
        </w:trPr>
        <w:tc>
          <w:tcPr>
            <w:tcW w:w="1578" w:type="dxa"/>
            <w:tcBorders>
              <w:top w:val="single" w:sz="4" w:space="0" w:color="auto"/>
              <w:left w:val="nil"/>
              <w:bottom w:val="nil"/>
              <w:right w:val="nil"/>
            </w:tcBorders>
            <w:vAlign w:val="center"/>
          </w:tcPr>
          <w:p w14:paraId="48DA5B4E" w14:textId="5C3D64F8" w:rsidR="006977B7" w:rsidRPr="0032189D" w:rsidRDefault="006977B7" w:rsidP="006667C6">
            <w:pPr>
              <w:pStyle w:val="ACLTextFirstLine"/>
              <w:spacing w:line="240" w:lineRule="auto"/>
              <w:ind w:firstLine="0"/>
              <w:rPr>
                <w:color w:val="000000" w:themeColor="text1"/>
                <w:sz w:val="20"/>
                <w:szCs w:val="20"/>
              </w:rPr>
            </w:pPr>
            <w:r w:rsidRPr="0032189D">
              <w:rPr>
                <w:color w:val="000000" w:themeColor="text1"/>
                <w:sz w:val="20"/>
                <w:szCs w:val="20"/>
              </w:rPr>
              <w:t>Learning rate</w:t>
            </w:r>
          </w:p>
        </w:tc>
        <w:tc>
          <w:tcPr>
            <w:tcW w:w="1590" w:type="dxa"/>
            <w:tcBorders>
              <w:top w:val="single" w:sz="4" w:space="0" w:color="auto"/>
              <w:left w:val="nil"/>
              <w:bottom w:val="nil"/>
              <w:right w:val="nil"/>
            </w:tcBorders>
            <w:vAlign w:val="center"/>
          </w:tcPr>
          <w:p w14:paraId="7BED8F95" w14:textId="438D60BB" w:rsidR="006977B7" w:rsidRPr="0032189D" w:rsidRDefault="006977B7" w:rsidP="006667C6">
            <w:pPr>
              <w:pStyle w:val="ACLTextFirstLine"/>
              <w:spacing w:line="240" w:lineRule="auto"/>
              <w:ind w:firstLine="0"/>
              <w:jc w:val="center"/>
              <w:rPr>
                <w:color w:val="000000" w:themeColor="text1"/>
                <w:sz w:val="20"/>
                <w:szCs w:val="20"/>
              </w:rPr>
            </w:pPr>
            <m:oMathPara>
              <m:oMath>
                <m:r>
                  <w:rPr>
                    <w:rFonts w:ascii="Cambria Math" w:hAnsi="Cambria Math"/>
                    <w:color w:val="000000" w:themeColor="text1"/>
                    <w:sz w:val="20"/>
                    <w:szCs w:val="20"/>
                  </w:rPr>
                  <m:t>2×</m:t>
                </m:r>
                <m:sSup>
                  <m:sSupPr>
                    <m:ctrlPr>
                      <w:rPr>
                        <w:rFonts w:ascii="Cambria Math" w:hAnsi="Cambria Math"/>
                        <w:color w:val="000000" w:themeColor="text1"/>
                        <w:sz w:val="20"/>
                        <w:szCs w:val="20"/>
                      </w:rPr>
                    </m:ctrlPr>
                  </m:sSupPr>
                  <m:e>
                    <m:r>
                      <w:rPr>
                        <w:rFonts w:ascii="Cambria Math" w:hAnsi="Cambria Math"/>
                        <w:color w:val="000000" w:themeColor="text1"/>
                        <w:sz w:val="20"/>
                        <w:szCs w:val="20"/>
                      </w:rPr>
                      <m:t>10</m:t>
                    </m:r>
                  </m:e>
                  <m:sup>
                    <m:r>
                      <w:rPr>
                        <w:rFonts w:ascii="Cambria Math" w:hAnsi="Cambria Math"/>
                        <w:color w:val="000000" w:themeColor="text1"/>
                        <w:sz w:val="20"/>
                        <w:szCs w:val="20"/>
                      </w:rPr>
                      <m:t>-4</m:t>
                    </m:r>
                  </m:sup>
                </m:sSup>
              </m:oMath>
            </m:oMathPara>
          </w:p>
        </w:tc>
        <w:tc>
          <w:tcPr>
            <w:tcW w:w="1307" w:type="dxa"/>
            <w:tcBorders>
              <w:top w:val="single" w:sz="4" w:space="0" w:color="auto"/>
              <w:left w:val="nil"/>
              <w:bottom w:val="nil"/>
              <w:right w:val="nil"/>
            </w:tcBorders>
            <w:vAlign w:val="center"/>
          </w:tcPr>
          <w:p w14:paraId="63AA4109" w14:textId="121DD634" w:rsidR="006977B7" w:rsidRPr="0032189D" w:rsidRDefault="006977B7" w:rsidP="006667C6">
            <w:pPr>
              <w:pStyle w:val="ACLTextFirstLine"/>
              <w:spacing w:line="240" w:lineRule="auto"/>
              <w:ind w:firstLine="0"/>
              <w:jc w:val="center"/>
              <w:rPr>
                <w:color w:val="000000" w:themeColor="text1"/>
                <w:sz w:val="20"/>
                <w:szCs w:val="20"/>
              </w:rPr>
            </w:pPr>
            <m:oMathPara>
              <m:oMath>
                <m:r>
                  <w:rPr>
                    <w:rFonts w:ascii="Cambria Math" w:hAnsi="Cambria Math"/>
                    <w:color w:val="000000" w:themeColor="text1"/>
                    <w:sz w:val="20"/>
                    <w:szCs w:val="20"/>
                  </w:rPr>
                  <m:t>5×</m:t>
                </m:r>
                <m:sSup>
                  <m:sSupPr>
                    <m:ctrlPr>
                      <w:rPr>
                        <w:rFonts w:ascii="Cambria Math" w:hAnsi="Cambria Math"/>
                        <w:color w:val="000000" w:themeColor="text1"/>
                        <w:sz w:val="20"/>
                        <w:szCs w:val="20"/>
                      </w:rPr>
                    </m:ctrlPr>
                  </m:sSupPr>
                  <m:e>
                    <m:r>
                      <w:rPr>
                        <w:rFonts w:ascii="Cambria Math" w:hAnsi="Cambria Math"/>
                        <w:color w:val="000000" w:themeColor="text1"/>
                        <w:sz w:val="20"/>
                        <w:szCs w:val="20"/>
                      </w:rPr>
                      <m:t>10</m:t>
                    </m:r>
                  </m:e>
                  <m:sup>
                    <m:r>
                      <w:rPr>
                        <w:rFonts w:ascii="Cambria Math" w:hAnsi="Cambria Math"/>
                        <w:color w:val="000000" w:themeColor="text1"/>
                        <w:sz w:val="20"/>
                        <w:szCs w:val="20"/>
                      </w:rPr>
                      <m:t>-5</m:t>
                    </m:r>
                  </m:sup>
                </m:sSup>
              </m:oMath>
            </m:oMathPara>
          </w:p>
        </w:tc>
      </w:tr>
      <w:tr w:rsidR="006977B7" w:rsidRPr="0032189D" w14:paraId="25EDFF16" w14:textId="77777777" w:rsidTr="006667C6">
        <w:trPr>
          <w:trHeight w:val="542"/>
        </w:trPr>
        <w:tc>
          <w:tcPr>
            <w:tcW w:w="1578" w:type="dxa"/>
            <w:tcBorders>
              <w:top w:val="nil"/>
              <w:left w:val="nil"/>
              <w:bottom w:val="nil"/>
              <w:right w:val="nil"/>
            </w:tcBorders>
            <w:vAlign w:val="center"/>
          </w:tcPr>
          <w:p w14:paraId="7086211E" w14:textId="6641589A" w:rsidR="006977B7" w:rsidRPr="0032189D" w:rsidRDefault="006977B7" w:rsidP="006667C6">
            <w:pPr>
              <w:pStyle w:val="ACLTextFirstLine"/>
              <w:spacing w:line="240" w:lineRule="auto"/>
              <w:ind w:firstLine="0"/>
              <w:rPr>
                <w:color w:val="000000" w:themeColor="text1"/>
                <w:sz w:val="20"/>
                <w:szCs w:val="20"/>
              </w:rPr>
            </w:pPr>
            <w:r w:rsidRPr="0032189D">
              <w:rPr>
                <w:color w:val="000000" w:themeColor="text1"/>
                <w:sz w:val="20"/>
                <w:szCs w:val="20"/>
              </w:rPr>
              <w:t>Warmup ratio</w:t>
            </w:r>
          </w:p>
        </w:tc>
        <w:tc>
          <w:tcPr>
            <w:tcW w:w="1590" w:type="dxa"/>
            <w:tcBorders>
              <w:top w:val="nil"/>
              <w:left w:val="nil"/>
              <w:bottom w:val="nil"/>
              <w:right w:val="nil"/>
            </w:tcBorders>
            <w:vAlign w:val="center"/>
          </w:tcPr>
          <w:p w14:paraId="64B1635F" w14:textId="013541F0" w:rsidR="006977B7" w:rsidRPr="0032189D" w:rsidRDefault="006977B7" w:rsidP="006667C6">
            <w:pPr>
              <w:pStyle w:val="ACLTextFirstLine"/>
              <w:spacing w:line="240" w:lineRule="auto"/>
              <w:ind w:firstLine="0"/>
              <w:jc w:val="center"/>
              <w:rPr>
                <w:color w:val="000000" w:themeColor="text1"/>
                <w:sz w:val="20"/>
                <w:szCs w:val="20"/>
              </w:rPr>
            </w:pPr>
            <w:r w:rsidRPr="0032189D">
              <w:rPr>
                <w:color w:val="000000" w:themeColor="text1"/>
                <w:sz w:val="20"/>
                <w:szCs w:val="20"/>
              </w:rPr>
              <w:t>0.03</w:t>
            </w:r>
          </w:p>
        </w:tc>
        <w:tc>
          <w:tcPr>
            <w:tcW w:w="1307" w:type="dxa"/>
            <w:tcBorders>
              <w:top w:val="nil"/>
              <w:left w:val="nil"/>
              <w:bottom w:val="nil"/>
              <w:right w:val="nil"/>
            </w:tcBorders>
            <w:vAlign w:val="center"/>
          </w:tcPr>
          <w:p w14:paraId="043E2DE0" w14:textId="780B145C" w:rsidR="006977B7" w:rsidRPr="0032189D" w:rsidRDefault="006977B7" w:rsidP="006667C6">
            <w:pPr>
              <w:pStyle w:val="ACLTextFirstLine"/>
              <w:spacing w:line="240" w:lineRule="auto"/>
              <w:ind w:firstLine="0"/>
              <w:jc w:val="center"/>
              <w:rPr>
                <w:color w:val="000000" w:themeColor="text1"/>
                <w:sz w:val="20"/>
                <w:szCs w:val="20"/>
              </w:rPr>
            </w:pPr>
            <w:r w:rsidRPr="0032189D">
              <w:rPr>
                <w:color w:val="000000" w:themeColor="text1"/>
                <w:sz w:val="20"/>
                <w:szCs w:val="20"/>
              </w:rPr>
              <w:t>0.05</w:t>
            </w:r>
          </w:p>
        </w:tc>
      </w:tr>
      <w:tr w:rsidR="006977B7" w:rsidRPr="0032189D" w14:paraId="30B9346B" w14:textId="77777777" w:rsidTr="006667C6">
        <w:trPr>
          <w:trHeight w:val="485"/>
        </w:trPr>
        <w:tc>
          <w:tcPr>
            <w:tcW w:w="1578" w:type="dxa"/>
            <w:tcBorders>
              <w:top w:val="nil"/>
              <w:left w:val="nil"/>
              <w:bottom w:val="single" w:sz="4" w:space="0" w:color="auto"/>
              <w:right w:val="nil"/>
            </w:tcBorders>
            <w:vAlign w:val="center"/>
          </w:tcPr>
          <w:p w14:paraId="365FC65C" w14:textId="45B42153" w:rsidR="006977B7" w:rsidRPr="0032189D" w:rsidRDefault="006977B7" w:rsidP="006667C6">
            <w:pPr>
              <w:pStyle w:val="ACLTextFirstLine"/>
              <w:spacing w:line="240" w:lineRule="auto"/>
              <w:ind w:firstLine="0"/>
              <w:rPr>
                <w:color w:val="000000" w:themeColor="text1"/>
                <w:sz w:val="20"/>
                <w:szCs w:val="20"/>
              </w:rPr>
            </w:pPr>
            <w:r w:rsidRPr="0032189D">
              <w:rPr>
                <w:color w:val="000000" w:themeColor="text1"/>
                <w:sz w:val="20"/>
                <w:szCs w:val="20"/>
              </w:rPr>
              <w:t>Trainable params</w:t>
            </w:r>
          </w:p>
        </w:tc>
        <w:tc>
          <w:tcPr>
            <w:tcW w:w="1590" w:type="dxa"/>
            <w:tcBorders>
              <w:top w:val="nil"/>
              <w:left w:val="nil"/>
              <w:bottom w:val="single" w:sz="4" w:space="0" w:color="auto"/>
              <w:right w:val="nil"/>
            </w:tcBorders>
            <w:vAlign w:val="center"/>
          </w:tcPr>
          <w:p w14:paraId="13498952" w14:textId="6DFAA129" w:rsidR="006977B7" w:rsidRPr="0032189D" w:rsidRDefault="006977B7" w:rsidP="006667C6">
            <w:pPr>
              <w:pStyle w:val="ACLTextFirstLine"/>
              <w:spacing w:line="240" w:lineRule="auto"/>
              <w:ind w:firstLine="0"/>
              <w:jc w:val="center"/>
              <w:rPr>
                <w:color w:val="000000" w:themeColor="text1"/>
                <w:sz w:val="20"/>
                <w:szCs w:val="20"/>
              </w:rPr>
            </w:pPr>
            <w:r w:rsidRPr="0032189D">
              <w:rPr>
                <w:color w:val="000000" w:themeColor="text1"/>
                <w:sz w:val="20"/>
                <w:szCs w:val="20"/>
              </w:rPr>
              <w:t>1.24% / 0.92%</w:t>
            </w:r>
          </w:p>
        </w:tc>
        <w:tc>
          <w:tcPr>
            <w:tcW w:w="1307" w:type="dxa"/>
            <w:tcBorders>
              <w:top w:val="nil"/>
              <w:left w:val="nil"/>
              <w:bottom w:val="single" w:sz="4" w:space="0" w:color="auto"/>
              <w:right w:val="nil"/>
            </w:tcBorders>
            <w:vAlign w:val="center"/>
          </w:tcPr>
          <w:p w14:paraId="0725D6B9" w14:textId="380E6A15" w:rsidR="006977B7" w:rsidRPr="0032189D" w:rsidRDefault="006977B7" w:rsidP="006667C6">
            <w:pPr>
              <w:pStyle w:val="ACLTextFirstLine"/>
              <w:spacing w:line="240" w:lineRule="auto"/>
              <w:ind w:firstLine="0"/>
              <w:jc w:val="center"/>
              <w:rPr>
                <w:color w:val="000000" w:themeColor="text1"/>
                <w:sz w:val="20"/>
                <w:szCs w:val="20"/>
              </w:rPr>
            </w:pPr>
            <w:r w:rsidRPr="0032189D">
              <w:rPr>
                <w:color w:val="000000" w:themeColor="text1"/>
                <w:sz w:val="20"/>
                <w:szCs w:val="20"/>
              </w:rPr>
              <w:t>1.28%</w:t>
            </w:r>
          </w:p>
        </w:tc>
      </w:tr>
    </w:tbl>
    <w:p w14:paraId="297ED25E" w14:textId="26AE450A" w:rsidR="006667C6" w:rsidRPr="00471846" w:rsidRDefault="006667C6" w:rsidP="006667C6">
      <w:pPr>
        <w:pStyle w:val="Caption"/>
        <w:framePr w:hSpace="0" w:wrap="auto" w:xAlign="left" w:yAlign="inline"/>
        <w:suppressOverlap w:val="0"/>
      </w:pPr>
      <w:r w:rsidRPr="00471846">
        <w:t xml:space="preserve">Table </w:t>
      </w:r>
      <w:fldSimple w:instr=" SEQ Table \* ARABIC ">
        <w:r w:rsidR="000B0AD5">
          <w:rPr>
            <w:noProof/>
          </w:rPr>
          <w:t>3</w:t>
        </w:r>
      </w:fldSimple>
      <w:r w:rsidRPr="00471846">
        <w:t xml:space="preserve">:  </w:t>
      </w:r>
      <w:r>
        <w:t xml:space="preserve">Fine-tuning </w:t>
      </w:r>
      <w:r w:rsidR="000673C7">
        <w:t>Hyper</w:t>
      </w:r>
      <w:r w:rsidR="009D0153">
        <w:t>-</w:t>
      </w:r>
      <w:r w:rsidR="000673C7">
        <w:t>parameters</w:t>
      </w:r>
      <w:r w:rsidRPr="00471846">
        <w:t>.</w:t>
      </w:r>
    </w:p>
    <w:p w14:paraId="632F5927" w14:textId="6B12D13D" w:rsidR="00387670" w:rsidRPr="007556A7" w:rsidRDefault="0033307B" w:rsidP="00202E9F">
      <w:pPr>
        <w:pStyle w:val="ACLTextFirstLine"/>
        <w:rPr>
          <w:sz w:val="22"/>
          <w:szCs w:val="22"/>
        </w:rPr>
      </w:pPr>
      <w:r w:rsidRPr="007556A7">
        <w:rPr>
          <w:sz w:val="22"/>
          <w:szCs w:val="22"/>
        </w:rPr>
        <w:t xml:space="preserve">Gemma's lower learning rate reflects empirical instability at higher rates, consistent with QLoRA </w:t>
      </w:r>
      <w:r w:rsidRPr="007556A7">
        <w:rPr>
          <w:sz w:val="22"/>
          <w:szCs w:val="22"/>
        </w:rPr>
        <w:t>guidance. Training data uses each model's native chat template with the system prompt: “You are an expert cybersecurity instructor. Answer the following question clearly, accurately, and in detail. Use examples where helpful and always aim to teach the concept behind the answer.” This encodes the pedagogical objective whose implications we analyze in §5.1.</w:t>
      </w:r>
    </w:p>
    <w:p w14:paraId="0B18646F" w14:textId="1A6B9E27" w:rsidR="00A4509C" w:rsidRDefault="00A4509C" w:rsidP="00A4509C">
      <w:pPr>
        <w:pStyle w:val="ACLSubsection"/>
      </w:pPr>
      <w:r>
        <w:t>Evaluation</w:t>
      </w:r>
    </w:p>
    <w:p w14:paraId="3B6EE794" w14:textId="52695543" w:rsidR="00A4509C" w:rsidRPr="007556A7" w:rsidRDefault="00A4509C" w:rsidP="00A4509C">
      <w:pPr>
        <w:pStyle w:val="ACLTextFirstLine"/>
        <w:ind w:firstLine="0"/>
        <w:rPr>
          <w:sz w:val="22"/>
          <w:szCs w:val="22"/>
        </w:rPr>
      </w:pPr>
      <w:r w:rsidRPr="007556A7">
        <w:rPr>
          <w:sz w:val="22"/>
          <w:szCs w:val="22"/>
        </w:rPr>
        <w:t>Evaluation uses 222 questions in two disjoint sets: 75 MCQ from the Cisco CyberOps Associate certification exam (Cisco University) and 147 open-ended questions from public sources (Cisco Learning Network, Edureka, GeeksforGeeks, community resources). Exam items follow the standard format (stem + four options A–D, one correct).</w:t>
      </w:r>
    </w:p>
    <w:p w14:paraId="28B6F5E8" w14:textId="77777777" w:rsidR="00A4509C" w:rsidRPr="007556A7" w:rsidRDefault="00A4509C" w:rsidP="00A4509C">
      <w:pPr>
        <w:pStyle w:val="ACLTextFirstLine"/>
        <w:rPr>
          <w:sz w:val="22"/>
          <w:szCs w:val="22"/>
        </w:rPr>
      </w:pPr>
      <w:r w:rsidRPr="007556A7">
        <w:rPr>
          <w:sz w:val="22"/>
          <w:szCs w:val="22"/>
        </w:rPr>
        <w:t>We employ three evaluation protocols developed iteratively to address confounds discovered during analysis:</w:t>
      </w:r>
    </w:p>
    <w:p w14:paraId="0E04874C" w14:textId="77777777" w:rsidR="00A4509C" w:rsidRPr="007556A7" w:rsidRDefault="00A4509C" w:rsidP="00A4509C">
      <w:pPr>
        <w:pStyle w:val="ACLTextFirstLine"/>
        <w:numPr>
          <w:ilvl w:val="0"/>
          <w:numId w:val="25"/>
        </w:numPr>
        <w:rPr>
          <w:sz w:val="22"/>
          <w:szCs w:val="22"/>
        </w:rPr>
      </w:pPr>
      <w:r w:rsidRPr="007556A7">
        <w:rPr>
          <w:b/>
          <w:bCs/>
          <w:sz w:val="22"/>
          <w:szCs w:val="22"/>
        </w:rPr>
        <w:t>Protocol v1 (Educator prompt for all):</w:t>
      </w:r>
      <w:r w:rsidRPr="007556A7">
        <w:rPr>
          <w:sz w:val="22"/>
          <w:szCs w:val="22"/>
        </w:rPr>
        <w:t> Educator system prompt for both exam and general questions, 512-token max. </w:t>
      </w:r>
      <w:r w:rsidRPr="007556A7">
        <w:rPr>
          <w:i/>
          <w:iCs/>
          <w:sz w:val="22"/>
          <w:szCs w:val="22"/>
        </w:rPr>
        <w:t>Issue:</w:t>
      </w:r>
      <w:r w:rsidRPr="007556A7">
        <w:rPr>
          <w:sz w:val="22"/>
          <w:szCs w:val="22"/>
        </w:rPr>
        <w:t> Encourages explanatory responses even for MCQ.</w:t>
      </w:r>
    </w:p>
    <w:p w14:paraId="5EC7230F" w14:textId="77777777" w:rsidR="00A4509C" w:rsidRPr="007556A7" w:rsidRDefault="00A4509C" w:rsidP="00A4509C">
      <w:pPr>
        <w:pStyle w:val="ACLTextFirstLine"/>
        <w:numPr>
          <w:ilvl w:val="0"/>
          <w:numId w:val="25"/>
        </w:numPr>
        <w:rPr>
          <w:sz w:val="22"/>
          <w:szCs w:val="22"/>
        </w:rPr>
      </w:pPr>
      <w:r w:rsidRPr="007556A7">
        <w:rPr>
          <w:b/>
          <w:bCs/>
          <w:sz w:val="22"/>
          <w:szCs w:val="22"/>
        </w:rPr>
        <w:t>Protocol v2 (No prompt for exam):</w:t>
      </w:r>
      <w:r w:rsidRPr="007556A7">
        <w:rPr>
          <w:sz w:val="22"/>
          <w:szCs w:val="22"/>
        </w:rPr>
        <w:t> No system prompt for exam, educator prompt for general, 256-token max for exam. </w:t>
      </w:r>
      <w:r w:rsidRPr="007556A7">
        <w:rPr>
          <w:i/>
          <w:iCs/>
          <w:sz w:val="22"/>
          <w:szCs w:val="22"/>
        </w:rPr>
        <w:t>Rationale:</w:t>
      </w:r>
      <w:r w:rsidRPr="007556A7">
        <w:rPr>
          <w:sz w:val="22"/>
          <w:szCs w:val="22"/>
        </w:rPr>
        <w:t> Isolates the educator persona's effect on exam performance.</w:t>
      </w:r>
    </w:p>
    <w:p w14:paraId="1898D5FC" w14:textId="77777777" w:rsidR="00A4509C" w:rsidRPr="007556A7" w:rsidRDefault="00A4509C" w:rsidP="00A4509C">
      <w:pPr>
        <w:pStyle w:val="ACLTextFirstLine"/>
        <w:numPr>
          <w:ilvl w:val="0"/>
          <w:numId w:val="25"/>
        </w:numPr>
        <w:rPr>
          <w:sz w:val="22"/>
          <w:szCs w:val="22"/>
        </w:rPr>
      </w:pPr>
      <w:r w:rsidRPr="007556A7">
        <w:rPr>
          <w:b/>
          <w:bCs/>
          <w:sz w:val="22"/>
          <w:szCs w:val="22"/>
        </w:rPr>
        <w:t>Protocol v3 (Strict MCQ):</w:t>
      </w:r>
      <w:r w:rsidRPr="007556A7">
        <w:rPr>
          <w:sz w:val="22"/>
          <w:szCs w:val="22"/>
        </w:rPr>
        <w:t> Explicit MCQ instruction for exam questions ("You are taking a multiple-choice certification exam. Reply with ONLY the letter of the correct answer. Do not explain your reasoning.") with 64-token max; educator prompt for general questions with 2048-token max. </w:t>
      </w:r>
      <w:r w:rsidRPr="007556A7">
        <w:rPr>
          <w:i/>
          <w:iCs/>
          <w:sz w:val="22"/>
          <w:szCs w:val="22"/>
        </w:rPr>
        <w:t>Rationale:</w:t>
      </w:r>
      <w:r w:rsidRPr="007556A7">
        <w:rPr>
          <w:sz w:val="22"/>
          <w:szCs w:val="22"/>
        </w:rPr>
        <w:t> Strongest possible format constraint.</w:t>
      </w:r>
    </w:p>
    <w:p w14:paraId="3A55EEBA" w14:textId="5DB5E542" w:rsidR="00A4509C" w:rsidRPr="007556A7" w:rsidRDefault="00A4509C" w:rsidP="00A4509C">
      <w:pPr>
        <w:pStyle w:val="ACLTextFirstLine"/>
        <w:rPr>
          <w:sz w:val="22"/>
          <w:szCs w:val="22"/>
        </w:rPr>
      </w:pPr>
      <w:r w:rsidRPr="007556A7">
        <w:rPr>
          <w:sz w:val="22"/>
          <w:szCs w:val="22"/>
        </w:rPr>
        <w:t xml:space="preserve">Protocol v3 is our primary evaluation. For exam questions we use lenient substring containment: a response is correct if the correct option letter (A–D) appears anywhere in the output. This can over-credit verbose responses, so the negative Llama result (−24.0 pp) is conservative w.r.t. this bias while the positive Gemma 2 result (+9.3 pp, mean 8.4-word responses) is essentially unaffected. For open-ended questions we report coverage and keyword coverage as lexical proxies only — not measures of correctness, utility, or safety — and do not use them to support any accuracy claim. A 0–3 </w:t>
      </w:r>
      <w:r w:rsidRPr="007556A7">
        <w:rPr>
          <w:sz w:val="22"/>
          <w:szCs w:val="22"/>
        </w:rPr>
        <w:lastRenderedPageBreak/>
        <w:t>rubric and LLM-as-judge protocol are left to future work (§6).</w:t>
      </w:r>
    </w:p>
    <w:p w14:paraId="394B4B42" w14:textId="3812DDA9" w:rsidR="000123B0" w:rsidRPr="007556A7" w:rsidRDefault="000123B0" w:rsidP="000123B0">
      <w:pPr>
        <w:pStyle w:val="ACLSubsection"/>
      </w:pPr>
      <w:r w:rsidRPr="007556A7">
        <w:t>Ablation: Curriculum vs. Random Ordering</w:t>
      </w:r>
    </w:p>
    <w:p w14:paraId="2D16ED67" w14:textId="7F7317BD" w:rsidR="0015673B" w:rsidRPr="007556A7" w:rsidRDefault="0015673B" w:rsidP="009805A5">
      <w:pPr>
        <w:pStyle w:val="ACLTextFirstLine"/>
        <w:ind w:firstLine="0"/>
        <w:rPr>
          <w:sz w:val="22"/>
          <w:szCs w:val="22"/>
        </w:rPr>
      </w:pPr>
      <w:r w:rsidRPr="007556A7">
        <w:rPr>
          <w:sz w:val="22"/>
          <w:szCs w:val="22"/>
        </w:rPr>
        <w:t>To isolate the effect of curriculum-based data ordering, we conduct controlled ablation studies using both Phi-3.5 and Gemma 2. Each ablation holds all hyperparameters constant and varies only the data presentation order:</w:t>
      </w:r>
    </w:p>
    <w:p w14:paraId="62A98199" w14:textId="33DAEAAE" w:rsidR="00095F6D" w:rsidRPr="007556A7" w:rsidRDefault="0015673B" w:rsidP="00653781">
      <w:pPr>
        <w:pStyle w:val="ACLTextFirstLine"/>
        <w:rPr>
          <w:sz w:val="22"/>
          <w:szCs w:val="22"/>
        </w:rPr>
      </w:pPr>
      <w:r w:rsidRPr="007556A7">
        <w:rPr>
          <w:sz w:val="22"/>
          <w:szCs w:val="22"/>
        </w:rPr>
        <w:t>Curriculum condition: difficulty-first order from §3.1, progressing through all courses at each tier before advancing. Randomized condition: the same 147,600 samples fully shuffled (different seed). Both conditions share hardware, learning rate, batch size, and training duration. Running on two architecturally distinct models with different pre-training (KD vs. NTP) tests robustness of ordering effects.</w:t>
      </w:r>
    </w:p>
    <w:p w14:paraId="59A3DADF" w14:textId="7364B4F4" w:rsidR="009805A5" w:rsidRPr="007556A7" w:rsidRDefault="009805A5" w:rsidP="009805A5">
      <w:pPr>
        <w:pStyle w:val="ACLSubsection"/>
      </w:pPr>
      <w:r w:rsidRPr="007556A7">
        <w:t>Infrastructure</w:t>
      </w:r>
    </w:p>
    <w:p w14:paraId="6DA01C21" w14:textId="50A31935" w:rsidR="006611DE" w:rsidRPr="007556A7" w:rsidRDefault="004C6350" w:rsidP="00DF14A5">
      <w:pPr>
        <w:pStyle w:val="ACLTextFirstLine"/>
        <w:ind w:firstLine="0"/>
        <w:rPr>
          <w:sz w:val="22"/>
          <w:szCs w:val="22"/>
        </w:rPr>
      </w:pPr>
      <w:r w:rsidRPr="007556A7">
        <w:rPr>
          <w:sz w:val="22"/>
          <w:szCs w:val="22"/>
        </w:rPr>
        <w:t>Experiments run on a server with 6× NVIDIA Tesla V100-PCIE-32GB GPUs (CC 7.0, CUDA 535.247.01), PyTorch 2.1.2 (CUDA 11.8), Transformers 4.50.3, PEFT 0.14.0, TRL 0.13.0; each model on its own GPU. V100s represent hardware typical of institutional, government, and research environments. Data generation, training, inference, and evaluation all ran on the isolated server, demonstrating the air-gapped workflow and respecting content-licensing constraints.</w:t>
      </w:r>
    </w:p>
    <w:p w14:paraId="3F7DEBA7" w14:textId="312DDE18" w:rsidR="00FC561E" w:rsidRDefault="00FC561E" w:rsidP="00FC561E">
      <w:pPr>
        <w:pStyle w:val="ACLSection"/>
      </w:pPr>
      <w:r>
        <w:t>Results</w:t>
      </w:r>
    </w:p>
    <w:p w14:paraId="1EC9D876" w14:textId="70FF203C" w:rsidR="00FC561E" w:rsidRPr="00FC561E" w:rsidRDefault="00FC561E" w:rsidP="00FC561E">
      <w:pPr>
        <w:pStyle w:val="ACLSubsection"/>
      </w:pPr>
      <w:r>
        <w:t>Training Outcomes</w:t>
      </w:r>
    </w:p>
    <w:tbl>
      <w:tblPr>
        <w:tblW w:w="4501" w:type="dxa"/>
        <w:tblInd w:w="-98" w:type="dxa"/>
        <w:shd w:val="clear" w:color="auto" w:fill="FFFFFF"/>
        <w:tblLayout w:type="fixed"/>
        <w:tblCellMar>
          <w:left w:w="0" w:type="dxa"/>
          <w:right w:w="0" w:type="dxa"/>
        </w:tblCellMar>
        <w:tblLook w:val="04A0" w:firstRow="1" w:lastRow="0" w:firstColumn="1" w:lastColumn="0" w:noHBand="0" w:noVBand="1"/>
      </w:tblPr>
      <w:tblGrid>
        <w:gridCol w:w="1233"/>
        <w:gridCol w:w="1410"/>
        <w:gridCol w:w="881"/>
        <w:gridCol w:w="977"/>
      </w:tblGrid>
      <w:tr w:rsidR="00FC561E" w:rsidRPr="0032189D" w14:paraId="211DBB02" w14:textId="77777777" w:rsidTr="007951F3">
        <w:trPr>
          <w:trHeight w:val="155"/>
          <w:tblHeader/>
        </w:trPr>
        <w:tc>
          <w:tcPr>
            <w:tcW w:w="1233" w:type="dxa"/>
            <w:tcBorders>
              <w:top w:val="single" w:sz="4" w:space="0" w:color="auto"/>
              <w:bottom w:val="single" w:sz="4" w:space="0" w:color="auto"/>
            </w:tcBorders>
            <w:shd w:val="clear" w:color="auto" w:fill="FFFFFF"/>
            <w:tcMar>
              <w:top w:w="90" w:type="dxa"/>
              <w:left w:w="195" w:type="dxa"/>
              <w:bottom w:w="90" w:type="dxa"/>
              <w:right w:w="195" w:type="dxa"/>
            </w:tcMar>
            <w:vAlign w:val="center"/>
            <w:hideMark/>
          </w:tcPr>
          <w:p w14:paraId="4081EFC6" w14:textId="77777777" w:rsidR="00FC561E" w:rsidRPr="0032189D" w:rsidRDefault="00FC561E" w:rsidP="00FC561E">
            <w:pPr>
              <w:pStyle w:val="ACLTextFirstLine"/>
              <w:spacing w:line="240" w:lineRule="auto"/>
              <w:ind w:firstLine="0"/>
              <w:rPr>
                <w:b/>
                <w:bCs/>
                <w:color w:val="000000" w:themeColor="text1"/>
                <w:sz w:val="20"/>
                <w:szCs w:val="20"/>
              </w:rPr>
            </w:pPr>
            <w:r w:rsidRPr="0032189D">
              <w:rPr>
                <w:b/>
                <w:bCs/>
                <w:color w:val="000000" w:themeColor="text1"/>
                <w:sz w:val="20"/>
                <w:szCs w:val="20"/>
              </w:rPr>
              <w:t>Model</w:t>
            </w:r>
          </w:p>
        </w:tc>
        <w:tc>
          <w:tcPr>
            <w:tcW w:w="1410" w:type="dxa"/>
            <w:tcBorders>
              <w:top w:val="single" w:sz="4" w:space="0" w:color="auto"/>
              <w:bottom w:val="single" w:sz="4" w:space="0" w:color="auto"/>
            </w:tcBorders>
            <w:shd w:val="clear" w:color="auto" w:fill="FFFFFF"/>
            <w:tcMar>
              <w:top w:w="90" w:type="dxa"/>
              <w:left w:w="195" w:type="dxa"/>
              <w:bottom w:w="90" w:type="dxa"/>
              <w:right w:w="195" w:type="dxa"/>
            </w:tcMar>
            <w:vAlign w:val="center"/>
            <w:hideMark/>
          </w:tcPr>
          <w:p w14:paraId="53D85D0A" w14:textId="77777777" w:rsidR="00FC561E" w:rsidRPr="0032189D" w:rsidRDefault="00FC561E" w:rsidP="00FC561E">
            <w:pPr>
              <w:pStyle w:val="ACLTextFirstLine"/>
              <w:spacing w:line="240" w:lineRule="auto"/>
              <w:ind w:firstLine="0"/>
              <w:rPr>
                <w:b/>
                <w:bCs/>
                <w:color w:val="000000" w:themeColor="text1"/>
                <w:sz w:val="20"/>
                <w:szCs w:val="20"/>
              </w:rPr>
            </w:pPr>
            <w:r w:rsidRPr="0032189D">
              <w:rPr>
                <w:b/>
                <w:bCs/>
                <w:color w:val="000000" w:themeColor="text1"/>
                <w:sz w:val="20"/>
                <w:szCs w:val="20"/>
              </w:rPr>
              <w:t>Condition</w:t>
            </w:r>
          </w:p>
        </w:tc>
        <w:tc>
          <w:tcPr>
            <w:tcW w:w="881" w:type="dxa"/>
            <w:tcBorders>
              <w:top w:val="single" w:sz="4" w:space="0" w:color="auto"/>
              <w:bottom w:val="single" w:sz="4" w:space="0" w:color="auto"/>
            </w:tcBorders>
            <w:shd w:val="clear" w:color="auto" w:fill="FFFFFF"/>
            <w:tcMar>
              <w:top w:w="90" w:type="dxa"/>
              <w:left w:w="195" w:type="dxa"/>
              <w:bottom w:w="90" w:type="dxa"/>
              <w:right w:w="195" w:type="dxa"/>
            </w:tcMar>
            <w:vAlign w:val="center"/>
            <w:hideMark/>
          </w:tcPr>
          <w:p w14:paraId="2E7627DE" w14:textId="635CDB15" w:rsidR="00FC561E" w:rsidRPr="0032189D" w:rsidRDefault="00FC561E" w:rsidP="00FC561E">
            <w:pPr>
              <w:pStyle w:val="ACLTextFirstLine"/>
              <w:spacing w:line="240" w:lineRule="auto"/>
              <w:ind w:firstLine="0"/>
              <w:rPr>
                <w:b/>
                <w:bCs/>
                <w:color w:val="000000" w:themeColor="text1"/>
                <w:sz w:val="20"/>
                <w:szCs w:val="20"/>
              </w:rPr>
            </w:pPr>
            <w:r w:rsidRPr="0032189D">
              <w:rPr>
                <w:b/>
                <w:bCs/>
                <w:color w:val="000000" w:themeColor="text1"/>
                <w:sz w:val="20"/>
                <w:szCs w:val="20"/>
              </w:rPr>
              <w:t>Loss</w:t>
            </w:r>
          </w:p>
        </w:tc>
        <w:tc>
          <w:tcPr>
            <w:tcW w:w="977" w:type="dxa"/>
            <w:tcBorders>
              <w:top w:val="single" w:sz="4" w:space="0" w:color="auto"/>
              <w:bottom w:val="single" w:sz="4" w:space="0" w:color="auto"/>
            </w:tcBorders>
            <w:shd w:val="clear" w:color="auto" w:fill="FFFFFF"/>
            <w:tcMar>
              <w:top w:w="90" w:type="dxa"/>
              <w:left w:w="195" w:type="dxa"/>
              <w:bottom w:w="90" w:type="dxa"/>
              <w:right w:w="195" w:type="dxa"/>
            </w:tcMar>
            <w:vAlign w:val="center"/>
            <w:hideMark/>
          </w:tcPr>
          <w:p w14:paraId="05E44452" w14:textId="77777777" w:rsidR="00FC561E" w:rsidRPr="0032189D" w:rsidRDefault="00FC561E" w:rsidP="00FC561E">
            <w:pPr>
              <w:pStyle w:val="ACLTextFirstLine"/>
              <w:spacing w:line="240" w:lineRule="auto"/>
              <w:ind w:firstLine="0"/>
              <w:rPr>
                <w:b/>
                <w:bCs/>
                <w:color w:val="000000" w:themeColor="text1"/>
                <w:sz w:val="20"/>
                <w:szCs w:val="20"/>
              </w:rPr>
            </w:pPr>
            <w:r w:rsidRPr="0032189D">
              <w:rPr>
                <w:b/>
                <w:bCs/>
                <w:color w:val="000000" w:themeColor="text1"/>
                <w:sz w:val="20"/>
                <w:szCs w:val="20"/>
              </w:rPr>
              <w:t>Time (h)</w:t>
            </w:r>
          </w:p>
        </w:tc>
      </w:tr>
      <w:tr w:rsidR="00FC561E" w:rsidRPr="0032189D" w14:paraId="582CFACB" w14:textId="77777777" w:rsidTr="007951F3">
        <w:trPr>
          <w:trHeight w:val="360"/>
        </w:trPr>
        <w:tc>
          <w:tcPr>
            <w:tcW w:w="1233" w:type="dxa"/>
            <w:tcBorders>
              <w:top w:val="single" w:sz="4" w:space="0" w:color="auto"/>
            </w:tcBorders>
            <w:tcMar>
              <w:top w:w="90" w:type="dxa"/>
              <w:left w:w="195" w:type="dxa"/>
              <w:bottom w:w="90" w:type="dxa"/>
              <w:right w:w="195" w:type="dxa"/>
            </w:tcMar>
            <w:vAlign w:val="center"/>
            <w:hideMark/>
          </w:tcPr>
          <w:p w14:paraId="0C9BFE91" w14:textId="77777777" w:rsidR="00FC561E" w:rsidRPr="0032189D" w:rsidRDefault="00FC561E" w:rsidP="00FC561E">
            <w:pPr>
              <w:pStyle w:val="ACLTextFirstLine"/>
              <w:spacing w:line="240" w:lineRule="auto"/>
              <w:ind w:firstLine="0"/>
              <w:rPr>
                <w:color w:val="000000" w:themeColor="text1"/>
                <w:sz w:val="20"/>
                <w:szCs w:val="20"/>
              </w:rPr>
            </w:pPr>
            <w:r w:rsidRPr="0032189D">
              <w:rPr>
                <w:color w:val="000000" w:themeColor="text1"/>
                <w:sz w:val="20"/>
                <w:szCs w:val="20"/>
              </w:rPr>
              <w:t>Gemma 2 2B</w:t>
            </w:r>
          </w:p>
        </w:tc>
        <w:tc>
          <w:tcPr>
            <w:tcW w:w="1410" w:type="dxa"/>
            <w:tcBorders>
              <w:top w:val="single" w:sz="4" w:space="0" w:color="auto"/>
            </w:tcBorders>
            <w:tcMar>
              <w:top w:w="90" w:type="dxa"/>
              <w:left w:w="195" w:type="dxa"/>
              <w:bottom w:w="90" w:type="dxa"/>
              <w:right w:w="195" w:type="dxa"/>
            </w:tcMar>
            <w:vAlign w:val="center"/>
            <w:hideMark/>
          </w:tcPr>
          <w:p w14:paraId="5781B50D" w14:textId="77777777" w:rsidR="00FC561E" w:rsidRPr="0032189D" w:rsidRDefault="00FC561E" w:rsidP="00FC561E">
            <w:pPr>
              <w:pStyle w:val="ACLTextFirstLine"/>
              <w:spacing w:line="240" w:lineRule="auto"/>
              <w:ind w:firstLine="0"/>
              <w:rPr>
                <w:color w:val="000000" w:themeColor="text1"/>
                <w:sz w:val="20"/>
                <w:szCs w:val="20"/>
              </w:rPr>
            </w:pPr>
            <w:r w:rsidRPr="0032189D">
              <w:rPr>
                <w:color w:val="000000" w:themeColor="text1"/>
                <w:sz w:val="20"/>
                <w:szCs w:val="20"/>
              </w:rPr>
              <w:t>Curriculum</w:t>
            </w:r>
          </w:p>
        </w:tc>
        <w:tc>
          <w:tcPr>
            <w:tcW w:w="881" w:type="dxa"/>
            <w:tcBorders>
              <w:top w:val="single" w:sz="4" w:space="0" w:color="auto"/>
            </w:tcBorders>
            <w:tcMar>
              <w:top w:w="90" w:type="dxa"/>
              <w:left w:w="195" w:type="dxa"/>
              <w:bottom w:w="90" w:type="dxa"/>
              <w:right w:w="195" w:type="dxa"/>
            </w:tcMar>
            <w:vAlign w:val="center"/>
            <w:hideMark/>
          </w:tcPr>
          <w:p w14:paraId="260B8C4A" w14:textId="77777777" w:rsidR="00FC561E" w:rsidRPr="0032189D" w:rsidRDefault="00FC561E" w:rsidP="00FC561E">
            <w:pPr>
              <w:pStyle w:val="ACLTextFirstLine"/>
              <w:spacing w:line="240" w:lineRule="auto"/>
              <w:ind w:firstLine="0"/>
              <w:rPr>
                <w:color w:val="000000" w:themeColor="text1"/>
                <w:sz w:val="20"/>
                <w:szCs w:val="20"/>
              </w:rPr>
            </w:pPr>
            <w:r w:rsidRPr="0032189D">
              <w:rPr>
                <w:color w:val="000000" w:themeColor="text1"/>
                <w:sz w:val="20"/>
                <w:szCs w:val="20"/>
              </w:rPr>
              <w:t>0.611</w:t>
            </w:r>
          </w:p>
        </w:tc>
        <w:tc>
          <w:tcPr>
            <w:tcW w:w="977" w:type="dxa"/>
            <w:tcBorders>
              <w:top w:val="single" w:sz="4" w:space="0" w:color="auto"/>
            </w:tcBorders>
            <w:tcMar>
              <w:top w:w="90" w:type="dxa"/>
              <w:left w:w="195" w:type="dxa"/>
              <w:bottom w:w="90" w:type="dxa"/>
              <w:right w:w="195" w:type="dxa"/>
            </w:tcMar>
            <w:vAlign w:val="center"/>
            <w:hideMark/>
          </w:tcPr>
          <w:p w14:paraId="2411C12F" w14:textId="77777777" w:rsidR="00FC561E" w:rsidRPr="0032189D" w:rsidRDefault="00FC561E" w:rsidP="00FC561E">
            <w:pPr>
              <w:pStyle w:val="ACLTextFirstLine"/>
              <w:spacing w:line="240" w:lineRule="auto"/>
              <w:ind w:firstLine="0"/>
              <w:rPr>
                <w:color w:val="000000" w:themeColor="text1"/>
                <w:sz w:val="20"/>
                <w:szCs w:val="20"/>
              </w:rPr>
            </w:pPr>
            <w:r w:rsidRPr="0032189D">
              <w:rPr>
                <w:color w:val="000000" w:themeColor="text1"/>
                <w:sz w:val="20"/>
                <w:szCs w:val="20"/>
              </w:rPr>
              <w:t>7.7</w:t>
            </w:r>
          </w:p>
        </w:tc>
      </w:tr>
      <w:tr w:rsidR="00FC561E" w:rsidRPr="0032189D" w14:paraId="6587BE86" w14:textId="77777777" w:rsidTr="007951F3">
        <w:trPr>
          <w:trHeight w:val="360"/>
        </w:trPr>
        <w:tc>
          <w:tcPr>
            <w:tcW w:w="1233" w:type="dxa"/>
            <w:tcMar>
              <w:top w:w="90" w:type="dxa"/>
              <w:left w:w="195" w:type="dxa"/>
              <w:bottom w:w="90" w:type="dxa"/>
              <w:right w:w="195" w:type="dxa"/>
            </w:tcMar>
            <w:vAlign w:val="center"/>
            <w:hideMark/>
          </w:tcPr>
          <w:p w14:paraId="509E2BF7" w14:textId="77777777" w:rsidR="00FC561E" w:rsidRPr="0032189D" w:rsidRDefault="00FC561E" w:rsidP="00FC561E">
            <w:pPr>
              <w:pStyle w:val="ACLTextFirstLine"/>
              <w:spacing w:line="240" w:lineRule="auto"/>
              <w:ind w:firstLine="0"/>
              <w:rPr>
                <w:color w:val="000000" w:themeColor="text1"/>
                <w:sz w:val="20"/>
                <w:szCs w:val="20"/>
              </w:rPr>
            </w:pPr>
            <w:r w:rsidRPr="0032189D">
              <w:rPr>
                <w:color w:val="000000" w:themeColor="text1"/>
                <w:sz w:val="20"/>
                <w:szCs w:val="20"/>
              </w:rPr>
              <w:t>Gemma 2 2B</w:t>
            </w:r>
          </w:p>
        </w:tc>
        <w:tc>
          <w:tcPr>
            <w:tcW w:w="1410" w:type="dxa"/>
            <w:tcMar>
              <w:top w:w="90" w:type="dxa"/>
              <w:left w:w="195" w:type="dxa"/>
              <w:bottom w:w="90" w:type="dxa"/>
              <w:right w:w="195" w:type="dxa"/>
            </w:tcMar>
            <w:vAlign w:val="center"/>
            <w:hideMark/>
          </w:tcPr>
          <w:p w14:paraId="5F0983FC" w14:textId="77777777" w:rsidR="00FC561E" w:rsidRPr="0032189D" w:rsidRDefault="00FC561E" w:rsidP="00FC561E">
            <w:pPr>
              <w:pStyle w:val="ACLTextFirstLine"/>
              <w:spacing w:line="240" w:lineRule="auto"/>
              <w:ind w:firstLine="0"/>
              <w:rPr>
                <w:color w:val="000000" w:themeColor="text1"/>
                <w:sz w:val="20"/>
                <w:szCs w:val="20"/>
              </w:rPr>
            </w:pPr>
            <w:r w:rsidRPr="0032189D">
              <w:rPr>
                <w:color w:val="000000" w:themeColor="text1"/>
                <w:sz w:val="20"/>
                <w:szCs w:val="20"/>
              </w:rPr>
              <w:t>Randomized</w:t>
            </w:r>
          </w:p>
        </w:tc>
        <w:tc>
          <w:tcPr>
            <w:tcW w:w="881" w:type="dxa"/>
            <w:tcMar>
              <w:top w:w="90" w:type="dxa"/>
              <w:left w:w="195" w:type="dxa"/>
              <w:bottom w:w="90" w:type="dxa"/>
              <w:right w:w="195" w:type="dxa"/>
            </w:tcMar>
            <w:vAlign w:val="center"/>
            <w:hideMark/>
          </w:tcPr>
          <w:p w14:paraId="0B1951E9" w14:textId="77777777" w:rsidR="00FC561E" w:rsidRPr="0032189D" w:rsidRDefault="00FC561E" w:rsidP="00FC561E">
            <w:pPr>
              <w:pStyle w:val="ACLTextFirstLine"/>
              <w:spacing w:line="240" w:lineRule="auto"/>
              <w:ind w:firstLine="0"/>
              <w:rPr>
                <w:color w:val="000000" w:themeColor="text1"/>
                <w:sz w:val="20"/>
                <w:szCs w:val="20"/>
              </w:rPr>
            </w:pPr>
            <w:r w:rsidRPr="0032189D">
              <w:rPr>
                <w:color w:val="000000" w:themeColor="text1"/>
                <w:sz w:val="20"/>
                <w:szCs w:val="20"/>
              </w:rPr>
              <w:t>1.128</w:t>
            </w:r>
          </w:p>
        </w:tc>
        <w:tc>
          <w:tcPr>
            <w:tcW w:w="977" w:type="dxa"/>
            <w:tcMar>
              <w:top w:w="90" w:type="dxa"/>
              <w:left w:w="195" w:type="dxa"/>
              <w:bottom w:w="90" w:type="dxa"/>
              <w:right w:w="195" w:type="dxa"/>
            </w:tcMar>
            <w:vAlign w:val="center"/>
            <w:hideMark/>
          </w:tcPr>
          <w:p w14:paraId="656818AE" w14:textId="77777777" w:rsidR="00FC561E" w:rsidRPr="0032189D" w:rsidRDefault="00FC561E" w:rsidP="00FC561E">
            <w:pPr>
              <w:pStyle w:val="ACLTextFirstLine"/>
              <w:spacing w:line="240" w:lineRule="auto"/>
              <w:ind w:firstLine="0"/>
              <w:rPr>
                <w:color w:val="000000" w:themeColor="text1"/>
                <w:sz w:val="20"/>
                <w:szCs w:val="20"/>
              </w:rPr>
            </w:pPr>
            <w:r w:rsidRPr="0032189D">
              <w:rPr>
                <w:color w:val="000000" w:themeColor="text1"/>
                <w:sz w:val="20"/>
                <w:szCs w:val="20"/>
              </w:rPr>
              <w:t>7.7</w:t>
            </w:r>
          </w:p>
        </w:tc>
      </w:tr>
      <w:tr w:rsidR="00FC561E" w:rsidRPr="0032189D" w14:paraId="1CCC2A3B" w14:textId="77777777" w:rsidTr="007951F3">
        <w:trPr>
          <w:trHeight w:val="175"/>
        </w:trPr>
        <w:tc>
          <w:tcPr>
            <w:tcW w:w="1233" w:type="dxa"/>
            <w:tcMar>
              <w:top w:w="90" w:type="dxa"/>
              <w:left w:w="195" w:type="dxa"/>
              <w:bottom w:w="90" w:type="dxa"/>
              <w:right w:w="195" w:type="dxa"/>
            </w:tcMar>
            <w:vAlign w:val="center"/>
            <w:hideMark/>
          </w:tcPr>
          <w:p w14:paraId="23A5096D" w14:textId="77777777" w:rsidR="00FC561E" w:rsidRPr="0032189D" w:rsidRDefault="00FC561E" w:rsidP="00FC561E">
            <w:pPr>
              <w:pStyle w:val="ACLTextFirstLine"/>
              <w:spacing w:line="240" w:lineRule="auto"/>
              <w:ind w:firstLine="0"/>
              <w:rPr>
                <w:color w:val="000000" w:themeColor="text1"/>
                <w:sz w:val="20"/>
                <w:szCs w:val="20"/>
              </w:rPr>
            </w:pPr>
            <w:r w:rsidRPr="0032189D">
              <w:rPr>
                <w:color w:val="000000" w:themeColor="text1"/>
                <w:sz w:val="20"/>
                <w:szCs w:val="20"/>
              </w:rPr>
              <w:t>Phi-3.5</w:t>
            </w:r>
          </w:p>
        </w:tc>
        <w:tc>
          <w:tcPr>
            <w:tcW w:w="1410" w:type="dxa"/>
            <w:tcMar>
              <w:top w:w="90" w:type="dxa"/>
              <w:left w:w="195" w:type="dxa"/>
              <w:bottom w:w="90" w:type="dxa"/>
              <w:right w:w="195" w:type="dxa"/>
            </w:tcMar>
            <w:vAlign w:val="center"/>
            <w:hideMark/>
          </w:tcPr>
          <w:p w14:paraId="0D675FE9" w14:textId="77777777" w:rsidR="00FC561E" w:rsidRPr="0032189D" w:rsidRDefault="00FC561E" w:rsidP="00FC561E">
            <w:pPr>
              <w:pStyle w:val="ACLTextFirstLine"/>
              <w:spacing w:line="240" w:lineRule="auto"/>
              <w:ind w:firstLine="0"/>
              <w:rPr>
                <w:color w:val="000000" w:themeColor="text1"/>
                <w:sz w:val="20"/>
                <w:szCs w:val="20"/>
              </w:rPr>
            </w:pPr>
            <w:r w:rsidRPr="0032189D">
              <w:rPr>
                <w:color w:val="000000" w:themeColor="text1"/>
                <w:sz w:val="20"/>
                <w:szCs w:val="20"/>
              </w:rPr>
              <w:t>Curriculum</w:t>
            </w:r>
          </w:p>
        </w:tc>
        <w:tc>
          <w:tcPr>
            <w:tcW w:w="881" w:type="dxa"/>
            <w:tcMar>
              <w:top w:w="90" w:type="dxa"/>
              <w:left w:w="195" w:type="dxa"/>
              <w:bottom w:w="90" w:type="dxa"/>
              <w:right w:w="195" w:type="dxa"/>
            </w:tcMar>
            <w:vAlign w:val="center"/>
            <w:hideMark/>
          </w:tcPr>
          <w:p w14:paraId="51D721CB" w14:textId="77777777" w:rsidR="00FC561E" w:rsidRPr="0032189D" w:rsidRDefault="00FC561E" w:rsidP="00FC561E">
            <w:pPr>
              <w:pStyle w:val="ACLTextFirstLine"/>
              <w:spacing w:line="240" w:lineRule="auto"/>
              <w:ind w:firstLine="0"/>
              <w:rPr>
                <w:color w:val="000000" w:themeColor="text1"/>
                <w:sz w:val="20"/>
                <w:szCs w:val="20"/>
              </w:rPr>
            </w:pPr>
            <w:r w:rsidRPr="0032189D">
              <w:rPr>
                <w:color w:val="000000" w:themeColor="text1"/>
                <w:sz w:val="20"/>
                <w:szCs w:val="20"/>
              </w:rPr>
              <w:t>0.879</w:t>
            </w:r>
          </w:p>
        </w:tc>
        <w:tc>
          <w:tcPr>
            <w:tcW w:w="977" w:type="dxa"/>
            <w:tcMar>
              <w:top w:w="90" w:type="dxa"/>
              <w:left w:w="195" w:type="dxa"/>
              <w:bottom w:w="90" w:type="dxa"/>
              <w:right w:w="195" w:type="dxa"/>
            </w:tcMar>
            <w:vAlign w:val="center"/>
            <w:hideMark/>
          </w:tcPr>
          <w:p w14:paraId="453852C5" w14:textId="77777777" w:rsidR="00FC561E" w:rsidRPr="0032189D" w:rsidRDefault="00FC561E" w:rsidP="00FC561E">
            <w:pPr>
              <w:pStyle w:val="ACLTextFirstLine"/>
              <w:spacing w:line="240" w:lineRule="auto"/>
              <w:ind w:firstLine="0"/>
              <w:rPr>
                <w:color w:val="000000" w:themeColor="text1"/>
                <w:sz w:val="20"/>
                <w:szCs w:val="20"/>
              </w:rPr>
            </w:pPr>
            <w:r w:rsidRPr="0032189D">
              <w:rPr>
                <w:color w:val="000000" w:themeColor="text1"/>
                <w:sz w:val="20"/>
                <w:szCs w:val="20"/>
              </w:rPr>
              <w:t>25.9</w:t>
            </w:r>
          </w:p>
        </w:tc>
      </w:tr>
      <w:tr w:rsidR="00FC561E" w:rsidRPr="0032189D" w14:paraId="1DDB8A42" w14:textId="77777777" w:rsidTr="007951F3">
        <w:trPr>
          <w:trHeight w:val="350"/>
        </w:trPr>
        <w:tc>
          <w:tcPr>
            <w:tcW w:w="1233" w:type="dxa"/>
            <w:tcMar>
              <w:top w:w="90" w:type="dxa"/>
              <w:left w:w="195" w:type="dxa"/>
              <w:bottom w:w="90" w:type="dxa"/>
              <w:right w:w="195" w:type="dxa"/>
            </w:tcMar>
            <w:vAlign w:val="center"/>
            <w:hideMark/>
          </w:tcPr>
          <w:p w14:paraId="5F7CEB07" w14:textId="77777777" w:rsidR="00FC561E" w:rsidRPr="0032189D" w:rsidRDefault="00FC561E" w:rsidP="00FC561E">
            <w:pPr>
              <w:pStyle w:val="ACLTextFirstLine"/>
              <w:spacing w:line="240" w:lineRule="auto"/>
              <w:ind w:firstLine="0"/>
              <w:rPr>
                <w:color w:val="000000" w:themeColor="text1"/>
                <w:sz w:val="20"/>
                <w:szCs w:val="20"/>
              </w:rPr>
            </w:pPr>
            <w:r w:rsidRPr="0032189D">
              <w:rPr>
                <w:color w:val="000000" w:themeColor="text1"/>
                <w:sz w:val="20"/>
                <w:szCs w:val="20"/>
              </w:rPr>
              <w:t>Phi-3.5</w:t>
            </w:r>
          </w:p>
        </w:tc>
        <w:tc>
          <w:tcPr>
            <w:tcW w:w="1410" w:type="dxa"/>
            <w:tcMar>
              <w:top w:w="90" w:type="dxa"/>
              <w:left w:w="195" w:type="dxa"/>
              <w:bottom w:w="90" w:type="dxa"/>
              <w:right w:w="195" w:type="dxa"/>
            </w:tcMar>
            <w:vAlign w:val="center"/>
            <w:hideMark/>
          </w:tcPr>
          <w:p w14:paraId="56516454" w14:textId="77777777" w:rsidR="00FC561E" w:rsidRPr="0032189D" w:rsidRDefault="00FC561E" w:rsidP="00FC561E">
            <w:pPr>
              <w:pStyle w:val="ACLTextFirstLine"/>
              <w:spacing w:line="240" w:lineRule="auto"/>
              <w:ind w:firstLine="0"/>
              <w:rPr>
                <w:color w:val="000000" w:themeColor="text1"/>
                <w:sz w:val="20"/>
                <w:szCs w:val="20"/>
              </w:rPr>
            </w:pPr>
            <w:r w:rsidRPr="0032189D">
              <w:rPr>
                <w:color w:val="000000" w:themeColor="text1"/>
                <w:sz w:val="20"/>
                <w:szCs w:val="20"/>
              </w:rPr>
              <w:t>Randomized</w:t>
            </w:r>
          </w:p>
        </w:tc>
        <w:tc>
          <w:tcPr>
            <w:tcW w:w="881" w:type="dxa"/>
            <w:tcMar>
              <w:top w:w="90" w:type="dxa"/>
              <w:left w:w="195" w:type="dxa"/>
              <w:bottom w:w="90" w:type="dxa"/>
              <w:right w:w="195" w:type="dxa"/>
            </w:tcMar>
            <w:vAlign w:val="center"/>
            <w:hideMark/>
          </w:tcPr>
          <w:p w14:paraId="0B82BCDE" w14:textId="77777777" w:rsidR="00FC561E" w:rsidRPr="0032189D" w:rsidRDefault="00FC561E" w:rsidP="00FC561E">
            <w:pPr>
              <w:pStyle w:val="ACLTextFirstLine"/>
              <w:spacing w:line="240" w:lineRule="auto"/>
              <w:ind w:firstLine="0"/>
              <w:rPr>
                <w:color w:val="000000" w:themeColor="text1"/>
                <w:sz w:val="20"/>
                <w:szCs w:val="20"/>
              </w:rPr>
            </w:pPr>
            <w:r w:rsidRPr="0032189D">
              <w:rPr>
                <w:color w:val="000000" w:themeColor="text1"/>
                <w:sz w:val="20"/>
                <w:szCs w:val="20"/>
              </w:rPr>
              <w:t>0.859</w:t>
            </w:r>
          </w:p>
        </w:tc>
        <w:tc>
          <w:tcPr>
            <w:tcW w:w="977" w:type="dxa"/>
            <w:tcMar>
              <w:top w:w="90" w:type="dxa"/>
              <w:left w:w="195" w:type="dxa"/>
              <w:bottom w:w="90" w:type="dxa"/>
              <w:right w:w="195" w:type="dxa"/>
            </w:tcMar>
            <w:vAlign w:val="center"/>
            <w:hideMark/>
          </w:tcPr>
          <w:p w14:paraId="319435AA" w14:textId="77777777" w:rsidR="00FC561E" w:rsidRPr="0032189D" w:rsidRDefault="00FC561E" w:rsidP="00FC561E">
            <w:pPr>
              <w:pStyle w:val="ACLTextFirstLine"/>
              <w:spacing w:line="240" w:lineRule="auto"/>
              <w:ind w:firstLine="0"/>
              <w:rPr>
                <w:color w:val="000000" w:themeColor="text1"/>
                <w:sz w:val="20"/>
                <w:szCs w:val="20"/>
              </w:rPr>
            </w:pPr>
            <w:r w:rsidRPr="0032189D">
              <w:rPr>
                <w:color w:val="000000" w:themeColor="text1"/>
                <w:sz w:val="20"/>
                <w:szCs w:val="20"/>
              </w:rPr>
              <w:t>25.9</w:t>
            </w:r>
          </w:p>
        </w:tc>
      </w:tr>
      <w:tr w:rsidR="00FC561E" w:rsidRPr="0032189D" w14:paraId="14A2D190" w14:textId="77777777" w:rsidTr="007951F3">
        <w:trPr>
          <w:trHeight w:val="17"/>
        </w:trPr>
        <w:tc>
          <w:tcPr>
            <w:tcW w:w="1233" w:type="dxa"/>
            <w:tcBorders>
              <w:bottom w:val="single" w:sz="4" w:space="0" w:color="auto"/>
            </w:tcBorders>
            <w:tcMar>
              <w:top w:w="90" w:type="dxa"/>
              <w:left w:w="195" w:type="dxa"/>
              <w:bottom w:w="90" w:type="dxa"/>
              <w:right w:w="195" w:type="dxa"/>
            </w:tcMar>
            <w:vAlign w:val="center"/>
            <w:hideMark/>
          </w:tcPr>
          <w:p w14:paraId="0A53D51B" w14:textId="77777777" w:rsidR="00FC561E" w:rsidRPr="0032189D" w:rsidRDefault="00FC561E" w:rsidP="00FC561E">
            <w:pPr>
              <w:pStyle w:val="ACLTextFirstLine"/>
              <w:spacing w:line="240" w:lineRule="auto"/>
              <w:ind w:firstLine="0"/>
              <w:rPr>
                <w:color w:val="000000" w:themeColor="text1"/>
                <w:sz w:val="20"/>
                <w:szCs w:val="20"/>
              </w:rPr>
            </w:pPr>
            <w:r w:rsidRPr="0032189D">
              <w:rPr>
                <w:color w:val="000000" w:themeColor="text1"/>
                <w:sz w:val="20"/>
                <w:szCs w:val="20"/>
              </w:rPr>
              <w:t>Llama 3.1 8B</w:t>
            </w:r>
          </w:p>
        </w:tc>
        <w:tc>
          <w:tcPr>
            <w:tcW w:w="1410" w:type="dxa"/>
            <w:tcBorders>
              <w:bottom w:val="single" w:sz="4" w:space="0" w:color="auto"/>
            </w:tcBorders>
            <w:tcMar>
              <w:top w:w="90" w:type="dxa"/>
              <w:left w:w="195" w:type="dxa"/>
              <w:bottom w:w="90" w:type="dxa"/>
              <w:right w:w="195" w:type="dxa"/>
            </w:tcMar>
            <w:vAlign w:val="center"/>
            <w:hideMark/>
          </w:tcPr>
          <w:p w14:paraId="4D231917" w14:textId="77777777" w:rsidR="00FC561E" w:rsidRPr="0032189D" w:rsidRDefault="00FC561E" w:rsidP="00FC561E">
            <w:pPr>
              <w:pStyle w:val="ACLTextFirstLine"/>
              <w:spacing w:line="240" w:lineRule="auto"/>
              <w:ind w:firstLine="0"/>
              <w:rPr>
                <w:color w:val="000000" w:themeColor="text1"/>
                <w:sz w:val="20"/>
                <w:szCs w:val="20"/>
              </w:rPr>
            </w:pPr>
            <w:r w:rsidRPr="0032189D">
              <w:rPr>
                <w:color w:val="000000" w:themeColor="text1"/>
                <w:sz w:val="20"/>
                <w:szCs w:val="20"/>
              </w:rPr>
              <w:t>Curriculum</w:t>
            </w:r>
          </w:p>
        </w:tc>
        <w:tc>
          <w:tcPr>
            <w:tcW w:w="881" w:type="dxa"/>
            <w:tcBorders>
              <w:bottom w:val="single" w:sz="4" w:space="0" w:color="auto"/>
            </w:tcBorders>
            <w:tcMar>
              <w:top w:w="90" w:type="dxa"/>
              <w:left w:w="195" w:type="dxa"/>
              <w:bottom w:w="90" w:type="dxa"/>
              <w:right w:w="195" w:type="dxa"/>
            </w:tcMar>
            <w:vAlign w:val="center"/>
            <w:hideMark/>
          </w:tcPr>
          <w:p w14:paraId="56866E9B" w14:textId="77777777" w:rsidR="00FC561E" w:rsidRPr="0032189D" w:rsidRDefault="00FC561E" w:rsidP="00FC561E">
            <w:pPr>
              <w:pStyle w:val="ACLTextFirstLine"/>
              <w:spacing w:line="240" w:lineRule="auto"/>
              <w:ind w:firstLine="0"/>
              <w:rPr>
                <w:color w:val="000000" w:themeColor="text1"/>
                <w:sz w:val="20"/>
                <w:szCs w:val="20"/>
              </w:rPr>
            </w:pPr>
            <w:r w:rsidRPr="0032189D">
              <w:rPr>
                <w:color w:val="000000" w:themeColor="text1"/>
                <w:sz w:val="20"/>
                <w:szCs w:val="20"/>
              </w:rPr>
              <w:t>1.007</w:t>
            </w:r>
          </w:p>
        </w:tc>
        <w:tc>
          <w:tcPr>
            <w:tcW w:w="977" w:type="dxa"/>
            <w:tcBorders>
              <w:bottom w:val="single" w:sz="4" w:space="0" w:color="auto"/>
            </w:tcBorders>
            <w:tcMar>
              <w:top w:w="90" w:type="dxa"/>
              <w:left w:w="195" w:type="dxa"/>
              <w:bottom w:w="90" w:type="dxa"/>
              <w:right w:w="195" w:type="dxa"/>
            </w:tcMar>
            <w:vAlign w:val="center"/>
            <w:hideMark/>
          </w:tcPr>
          <w:p w14:paraId="7E4E15AF" w14:textId="77777777" w:rsidR="00FC561E" w:rsidRPr="0032189D" w:rsidRDefault="00FC561E" w:rsidP="00FC561E">
            <w:pPr>
              <w:pStyle w:val="ACLTextFirstLine"/>
              <w:spacing w:line="240" w:lineRule="auto"/>
              <w:ind w:firstLine="0"/>
              <w:rPr>
                <w:color w:val="000000" w:themeColor="text1"/>
                <w:sz w:val="20"/>
                <w:szCs w:val="20"/>
              </w:rPr>
            </w:pPr>
            <w:r w:rsidRPr="0032189D">
              <w:rPr>
                <w:color w:val="000000" w:themeColor="text1"/>
                <w:sz w:val="20"/>
                <w:szCs w:val="20"/>
              </w:rPr>
              <w:t>44.6</w:t>
            </w:r>
          </w:p>
        </w:tc>
      </w:tr>
    </w:tbl>
    <w:p w14:paraId="68684E99" w14:textId="24F5FEC0" w:rsidR="00DC2493" w:rsidRPr="00471846" w:rsidRDefault="00DC2493" w:rsidP="00DC2493">
      <w:pPr>
        <w:pStyle w:val="Caption"/>
        <w:framePr w:hSpace="0" w:wrap="auto" w:xAlign="left" w:yAlign="inline"/>
        <w:suppressOverlap w:val="0"/>
      </w:pPr>
      <w:r w:rsidRPr="00471846">
        <w:t xml:space="preserve">Table </w:t>
      </w:r>
      <w:fldSimple w:instr=" SEQ Table \* ARABIC ">
        <w:r w:rsidR="000B0AD5">
          <w:rPr>
            <w:noProof/>
          </w:rPr>
          <w:t>4</w:t>
        </w:r>
      </w:fldSimple>
      <w:r w:rsidRPr="00471846">
        <w:t xml:space="preserve">:  </w:t>
      </w:r>
      <w:r w:rsidRPr="00DC2493">
        <w:t>Training outcomes for all configurations</w:t>
      </w:r>
      <w:r w:rsidRPr="00471846">
        <w:t>.</w:t>
      </w:r>
    </w:p>
    <w:p w14:paraId="197D8CF4" w14:textId="39275E4F" w:rsidR="002B5D89" w:rsidRPr="002B5D89" w:rsidRDefault="002B5D89" w:rsidP="002B5D89">
      <w:pPr>
        <w:pStyle w:val="ACLTextFirstLine"/>
        <w:rPr>
          <w:sz w:val="22"/>
          <w:szCs w:val="22"/>
        </w:rPr>
      </w:pPr>
      <w:r w:rsidRPr="002B5D89">
        <w:rPr>
          <w:sz w:val="22"/>
          <w:szCs w:val="22"/>
        </w:rPr>
        <w:t>All three successful models show monotonically decreasing loss. Gemma 2 reaches the lowest loss (0.611) in the shortest time (7.7 h), reflecting smaller size and the lower learning rate. The inverse size–loss relationship (2B &lt; 3.8B &lt; 8B) tracks the trainable/total parameter ratio (Gemma 2: 1.28%, Phi: 1.24%, Llama: 0.92%). Gemma 2's curriculum loss (0.611) is nearly half its randomized loss (1.128), while Phi's are comparable (0.879 vs. 0.859); we analyze this divergence in §5.3.</w:t>
      </w:r>
    </w:p>
    <w:p w14:paraId="009523A4" w14:textId="26441D1F" w:rsidR="002B5D89" w:rsidRPr="00506AD9" w:rsidRDefault="002B5D89" w:rsidP="002B5D89">
      <w:pPr>
        <w:pStyle w:val="ACLTextFirstLine"/>
        <w:rPr>
          <w:sz w:val="22"/>
          <w:szCs w:val="22"/>
        </w:rPr>
      </w:pPr>
      <w:r w:rsidRPr="002B5D89">
        <w:rPr>
          <w:b/>
          <w:bCs/>
          <w:sz w:val="22"/>
          <w:szCs w:val="22"/>
        </w:rPr>
        <w:t xml:space="preserve">Gemma 3 Failure. </w:t>
      </w:r>
      <w:r w:rsidRPr="00506AD9">
        <w:rPr>
          <w:sz w:val="22"/>
          <w:szCs w:val="22"/>
        </w:rPr>
        <w:t>Gemma 3 4B IT failed on V100 under two frameworks (QLoRA and Unsloth), with loss plateauing at ~61.0. The cause is hardware-level: Gemma 3's mixed-precision operations and attention soft-capping require BF16, available only on Ampere (A100) and newer GPUs; V100 (CC 7.0) supports only FP16, whose narrower dynamic range produces NaN or extreme gradients. The same model converges smoothly (loss 1.18) on A10G with identical hyperparameters, confirming a precision incompatibility rather than misconfiguration. Gemma 2 2B IT from the same family trains successfully on V100, so the boundary tracks model generation, not family.</w:t>
      </w:r>
    </w:p>
    <w:p w14:paraId="023C8CEF" w14:textId="6C41FA1B" w:rsidR="00347241" w:rsidRDefault="006F452A" w:rsidP="00ED129D">
      <w:pPr>
        <w:pStyle w:val="ACLSubsection"/>
      </w:pPr>
      <w:r>
        <w:t>Exam Performance</w:t>
      </w:r>
    </w:p>
    <w:tbl>
      <w:tblPr>
        <w:tblW w:w="4452" w:type="dxa"/>
        <w:tblCellMar>
          <w:left w:w="0" w:type="dxa"/>
          <w:right w:w="0" w:type="dxa"/>
        </w:tblCellMar>
        <w:tblLook w:val="04A0" w:firstRow="1" w:lastRow="0" w:firstColumn="1" w:lastColumn="0" w:noHBand="0" w:noVBand="1"/>
      </w:tblPr>
      <w:tblGrid>
        <w:gridCol w:w="1024"/>
        <w:gridCol w:w="1201"/>
        <w:gridCol w:w="1373"/>
        <w:gridCol w:w="854"/>
      </w:tblGrid>
      <w:tr w:rsidR="00D13A4A" w:rsidRPr="0032189D" w14:paraId="18644FA3" w14:textId="77777777" w:rsidTr="00D13A4A">
        <w:trPr>
          <w:tblHeader/>
        </w:trPr>
        <w:tc>
          <w:tcPr>
            <w:tcW w:w="0" w:type="auto"/>
            <w:tcBorders>
              <w:top w:val="single" w:sz="6" w:space="0" w:color="000000" w:themeColor="text1"/>
              <w:bottom w:val="single" w:sz="6" w:space="0" w:color="000000" w:themeColor="text1"/>
            </w:tcBorders>
            <w:tcMar>
              <w:top w:w="90" w:type="dxa"/>
              <w:left w:w="195" w:type="dxa"/>
              <w:bottom w:w="90" w:type="dxa"/>
              <w:right w:w="195" w:type="dxa"/>
            </w:tcMar>
            <w:vAlign w:val="center"/>
            <w:hideMark/>
          </w:tcPr>
          <w:p w14:paraId="0C1CC890" w14:textId="77777777" w:rsidR="00D13A4A" w:rsidRPr="0032189D" w:rsidRDefault="00D13A4A" w:rsidP="00D13A4A">
            <w:pPr>
              <w:jc w:val="center"/>
              <w:rPr>
                <w:b/>
                <w:bCs/>
                <w:color w:val="000000"/>
                <w:sz w:val="20"/>
                <w:szCs w:val="20"/>
              </w:rPr>
            </w:pPr>
            <w:r w:rsidRPr="0032189D">
              <w:rPr>
                <w:b/>
                <w:bCs/>
                <w:color w:val="000000"/>
                <w:sz w:val="20"/>
                <w:szCs w:val="20"/>
              </w:rPr>
              <w:t>Model</w:t>
            </w:r>
          </w:p>
        </w:tc>
        <w:tc>
          <w:tcPr>
            <w:tcW w:w="0" w:type="auto"/>
            <w:tcBorders>
              <w:top w:val="single" w:sz="6" w:space="0" w:color="000000" w:themeColor="text1"/>
              <w:bottom w:val="single" w:sz="6" w:space="0" w:color="000000" w:themeColor="text1"/>
            </w:tcBorders>
            <w:tcMar>
              <w:top w:w="90" w:type="dxa"/>
              <w:left w:w="195" w:type="dxa"/>
              <w:bottom w:w="90" w:type="dxa"/>
              <w:right w:w="195" w:type="dxa"/>
            </w:tcMar>
            <w:vAlign w:val="center"/>
            <w:hideMark/>
          </w:tcPr>
          <w:p w14:paraId="4746F795" w14:textId="77777777" w:rsidR="00D13A4A" w:rsidRPr="0032189D" w:rsidRDefault="00D13A4A" w:rsidP="00D13A4A">
            <w:pPr>
              <w:jc w:val="center"/>
              <w:rPr>
                <w:b/>
                <w:bCs/>
                <w:color w:val="000000"/>
                <w:sz w:val="20"/>
                <w:szCs w:val="20"/>
              </w:rPr>
            </w:pPr>
            <w:r w:rsidRPr="0032189D">
              <w:rPr>
                <w:b/>
                <w:bCs/>
                <w:color w:val="000000"/>
                <w:sz w:val="20"/>
                <w:szCs w:val="20"/>
              </w:rPr>
              <w:t>Base Accuracy</w:t>
            </w:r>
          </w:p>
        </w:tc>
        <w:tc>
          <w:tcPr>
            <w:tcW w:w="1782" w:type="dxa"/>
            <w:tcBorders>
              <w:top w:val="single" w:sz="6" w:space="0" w:color="000000" w:themeColor="text1"/>
              <w:bottom w:val="single" w:sz="6" w:space="0" w:color="000000" w:themeColor="text1"/>
            </w:tcBorders>
            <w:tcMar>
              <w:top w:w="90" w:type="dxa"/>
              <w:left w:w="195" w:type="dxa"/>
              <w:bottom w:w="90" w:type="dxa"/>
              <w:right w:w="195" w:type="dxa"/>
            </w:tcMar>
            <w:vAlign w:val="center"/>
            <w:hideMark/>
          </w:tcPr>
          <w:p w14:paraId="0894DC9C" w14:textId="77777777" w:rsidR="00D13A4A" w:rsidRPr="0032189D" w:rsidRDefault="00D13A4A" w:rsidP="00D13A4A">
            <w:pPr>
              <w:jc w:val="center"/>
              <w:rPr>
                <w:b/>
                <w:bCs/>
                <w:color w:val="000000"/>
                <w:sz w:val="20"/>
                <w:szCs w:val="20"/>
              </w:rPr>
            </w:pPr>
            <w:r w:rsidRPr="0032189D">
              <w:rPr>
                <w:b/>
                <w:bCs/>
                <w:color w:val="000000"/>
                <w:sz w:val="20"/>
                <w:szCs w:val="20"/>
              </w:rPr>
              <w:t>FT Accuracy</w:t>
            </w:r>
          </w:p>
        </w:tc>
        <w:tc>
          <w:tcPr>
            <w:tcW w:w="410" w:type="dxa"/>
            <w:tcBorders>
              <w:top w:val="single" w:sz="6" w:space="0" w:color="000000" w:themeColor="text1"/>
              <w:bottom w:val="single" w:sz="6" w:space="0" w:color="000000" w:themeColor="text1"/>
            </w:tcBorders>
            <w:tcMar>
              <w:top w:w="90" w:type="dxa"/>
              <w:left w:w="195" w:type="dxa"/>
              <w:bottom w:w="90" w:type="dxa"/>
              <w:right w:w="195" w:type="dxa"/>
            </w:tcMar>
            <w:vAlign w:val="center"/>
            <w:hideMark/>
          </w:tcPr>
          <w:p w14:paraId="51DFF91B" w14:textId="77777777" w:rsidR="00D13A4A" w:rsidRPr="0032189D" w:rsidRDefault="00D13A4A" w:rsidP="00D13A4A">
            <w:pPr>
              <w:jc w:val="center"/>
              <w:rPr>
                <w:b/>
                <w:bCs/>
                <w:color w:val="000000"/>
                <w:sz w:val="20"/>
                <w:szCs w:val="20"/>
              </w:rPr>
            </w:pPr>
            <w:r w:rsidRPr="0032189D">
              <w:rPr>
                <w:b/>
                <w:bCs/>
                <w:color w:val="000000"/>
                <w:sz w:val="20"/>
                <w:szCs w:val="20"/>
              </w:rPr>
              <w:t>Δ (pp)</w:t>
            </w:r>
          </w:p>
        </w:tc>
      </w:tr>
      <w:tr w:rsidR="00D13A4A" w:rsidRPr="0032189D" w14:paraId="54F15D70" w14:textId="77777777" w:rsidTr="00D13A4A">
        <w:tc>
          <w:tcPr>
            <w:tcW w:w="0" w:type="auto"/>
            <w:tcBorders>
              <w:top w:val="single" w:sz="6" w:space="0" w:color="000000" w:themeColor="text1"/>
            </w:tcBorders>
            <w:tcMar>
              <w:top w:w="90" w:type="dxa"/>
              <w:left w:w="195" w:type="dxa"/>
              <w:bottom w:w="90" w:type="dxa"/>
              <w:right w:w="195" w:type="dxa"/>
            </w:tcMar>
            <w:vAlign w:val="center"/>
            <w:hideMark/>
          </w:tcPr>
          <w:p w14:paraId="5B4FD6FC" w14:textId="77777777" w:rsidR="00D13A4A" w:rsidRPr="0032189D" w:rsidRDefault="00D13A4A" w:rsidP="00D13A4A">
            <w:pPr>
              <w:rPr>
                <w:color w:val="000000"/>
                <w:sz w:val="20"/>
                <w:szCs w:val="20"/>
              </w:rPr>
            </w:pPr>
            <w:r w:rsidRPr="0032189D">
              <w:rPr>
                <w:color w:val="000000"/>
                <w:sz w:val="20"/>
                <w:szCs w:val="20"/>
              </w:rPr>
              <w:t>Gemma 2 2B</w:t>
            </w:r>
          </w:p>
        </w:tc>
        <w:tc>
          <w:tcPr>
            <w:tcW w:w="0" w:type="auto"/>
            <w:tcBorders>
              <w:top w:val="single" w:sz="6" w:space="0" w:color="000000" w:themeColor="text1"/>
            </w:tcBorders>
            <w:tcMar>
              <w:top w:w="90" w:type="dxa"/>
              <w:left w:w="195" w:type="dxa"/>
              <w:bottom w:w="90" w:type="dxa"/>
              <w:right w:w="195" w:type="dxa"/>
            </w:tcMar>
            <w:vAlign w:val="center"/>
            <w:hideMark/>
          </w:tcPr>
          <w:p w14:paraId="20F77949" w14:textId="77777777" w:rsidR="00D13A4A" w:rsidRPr="0032189D" w:rsidRDefault="00D13A4A" w:rsidP="00D13A4A">
            <w:pPr>
              <w:jc w:val="center"/>
              <w:rPr>
                <w:color w:val="000000"/>
                <w:sz w:val="20"/>
                <w:szCs w:val="20"/>
              </w:rPr>
            </w:pPr>
            <w:r w:rsidRPr="0032189D">
              <w:rPr>
                <w:color w:val="000000"/>
                <w:sz w:val="20"/>
                <w:szCs w:val="20"/>
              </w:rPr>
              <w:t>44.0% (33/75)</w:t>
            </w:r>
          </w:p>
        </w:tc>
        <w:tc>
          <w:tcPr>
            <w:tcW w:w="1782" w:type="dxa"/>
            <w:tcBorders>
              <w:top w:val="single" w:sz="6" w:space="0" w:color="000000" w:themeColor="text1"/>
            </w:tcBorders>
            <w:tcMar>
              <w:top w:w="90" w:type="dxa"/>
              <w:left w:w="195" w:type="dxa"/>
              <w:bottom w:w="90" w:type="dxa"/>
              <w:right w:w="195" w:type="dxa"/>
            </w:tcMar>
            <w:vAlign w:val="center"/>
            <w:hideMark/>
          </w:tcPr>
          <w:p w14:paraId="50F4A309" w14:textId="77777777" w:rsidR="00D13A4A" w:rsidRPr="0032189D" w:rsidRDefault="00D13A4A" w:rsidP="00D13A4A">
            <w:pPr>
              <w:jc w:val="center"/>
              <w:rPr>
                <w:color w:val="000000"/>
                <w:sz w:val="20"/>
                <w:szCs w:val="20"/>
              </w:rPr>
            </w:pPr>
            <w:r w:rsidRPr="0032189D">
              <w:rPr>
                <w:color w:val="000000"/>
                <w:sz w:val="20"/>
                <w:szCs w:val="20"/>
              </w:rPr>
              <w:t>53.3% (40/75)</w:t>
            </w:r>
          </w:p>
        </w:tc>
        <w:tc>
          <w:tcPr>
            <w:tcW w:w="410" w:type="dxa"/>
            <w:tcBorders>
              <w:top w:val="single" w:sz="6" w:space="0" w:color="000000" w:themeColor="text1"/>
            </w:tcBorders>
            <w:tcMar>
              <w:top w:w="90" w:type="dxa"/>
              <w:left w:w="195" w:type="dxa"/>
              <w:bottom w:w="90" w:type="dxa"/>
              <w:right w:w="195" w:type="dxa"/>
            </w:tcMar>
            <w:vAlign w:val="center"/>
            <w:hideMark/>
          </w:tcPr>
          <w:p w14:paraId="541F6EFA" w14:textId="77777777" w:rsidR="00D13A4A" w:rsidRPr="0032189D" w:rsidRDefault="00D13A4A" w:rsidP="00D13A4A">
            <w:pPr>
              <w:jc w:val="center"/>
              <w:rPr>
                <w:color w:val="000000"/>
                <w:sz w:val="20"/>
                <w:szCs w:val="20"/>
              </w:rPr>
            </w:pPr>
            <w:r w:rsidRPr="0032189D">
              <w:rPr>
                <w:rStyle w:val="Strong"/>
                <w:color w:val="000000"/>
                <w:sz w:val="20"/>
                <w:szCs w:val="20"/>
              </w:rPr>
              <w:t>+9.3</w:t>
            </w:r>
          </w:p>
        </w:tc>
      </w:tr>
      <w:tr w:rsidR="00D13A4A" w:rsidRPr="0032189D" w14:paraId="19EBEF06" w14:textId="77777777" w:rsidTr="00D13A4A">
        <w:tc>
          <w:tcPr>
            <w:tcW w:w="0" w:type="auto"/>
            <w:tcMar>
              <w:top w:w="90" w:type="dxa"/>
              <w:left w:w="195" w:type="dxa"/>
              <w:bottom w:w="90" w:type="dxa"/>
              <w:right w:w="195" w:type="dxa"/>
            </w:tcMar>
            <w:vAlign w:val="center"/>
            <w:hideMark/>
          </w:tcPr>
          <w:p w14:paraId="4A9A6BC0" w14:textId="77777777" w:rsidR="00D13A4A" w:rsidRPr="0032189D" w:rsidRDefault="00D13A4A" w:rsidP="00D13A4A">
            <w:pPr>
              <w:rPr>
                <w:color w:val="000000"/>
                <w:sz w:val="20"/>
                <w:szCs w:val="20"/>
              </w:rPr>
            </w:pPr>
            <w:r w:rsidRPr="0032189D">
              <w:rPr>
                <w:color w:val="000000"/>
                <w:sz w:val="20"/>
                <w:szCs w:val="20"/>
              </w:rPr>
              <w:t>Phi-3.5</w:t>
            </w:r>
          </w:p>
        </w:tc>
        <w:tc>
          <w:tcPr>
            <w:tcW w:w="0" w:type="auto"/>
            <w:tcMar>
              <w:top w:w="90" w:type="dxa"/>
              <w:left w:w="195" w:type="dxa"/>
              <w:bottom w:w="90" w:type="dxa"/>
              <w:right w:w="195" w:type="dxa"/>
            </w:tcMar>
            <w:vAlign w:val="center"/>
            <w:hideMark/>
          </w:tcPr>
          <w:p w14:paraId="21248B54" w14:textId="77777777" w:rsidR="00D13A4A" w:rsidRPr="0032189D" w:rsidRDefault="00D13A4A" w:rsidP="00D13A4A">
            <w:pPr>
              <w:jc w:val="center"/>
              <w:rPr>
                <w:color w:val="000000"/>
                <w:sz w:val="20"/>
                <w:szCs w:val="20"/>
              </w:rPr>
            </w:pPr>
            <w:r w:rsidRPr="0032189D">
              <w:rPr>
                <w:color w:val="000000"/>
                <w:sz w:val="20"/>
                <w:szCs w:val="20"/>
              </w:rPr>
              <w:t>52.0% (39/75)</w:t>
            </w:r>
          </w:p>
        </w:tc>
        <w:tc>
          <w:tcPr>
            <w:tcW w:w="1782" w:type="dxa"/>
            <w:tcMar>
              <w:top w:w="90" w:type="dxa"/>
              <w:left w:w="195" w:type="dxa"/>
              <w:bottom w:w="90" w:type="dxa"/>
              <w:right w:w="195" w:type="dxa"/>
            </w:tcMar>
            <w:vAlign w:val="center"/>
            <w:hideMark/>
          </w:tcPr>
          <w:p w14:paraId="1201E28C" w14:textId="77777777" w:rsidR="00D13A4A" w:rsidRPr="0032189D" w:rsidRDefault="00D13A4A" w:rsidP="00D13A4A">
            <w:pPr>
              <w:jc w:val="center"/>
              <w:rPr>
                <w:color w:val="000000"/>
                <w:sz w:val="20"/>
                <w:szCs w:val="20"/>
              </w:rPr>
            </w:pPr>
            <w:r w:rsidRPr="0032189D">
              <w:rPr>
                <w:color w:val="000000"/>
                <w:sz w:val="20"/>
                <w:szCs w:val="20"/>
              </w:rPr>
              <w:t>56.0% (42/75)</w:t>
            </w:r>
          </w:p>
        </w:tc>
        <w:tc>
          <w:tcPr>
            <w:tcW w:w="410" w:type="dxa"/>
            <w:tcMar>
              <w:top w:w="90" w:type="dxa"/>
              <w:left w:w="195" w:type="dxa"/>
              <w:bottom w:w="90" w:type="dxa"/>
              <w:right w:w="195" w:type="dxa"/>
            </w:tcMar>
            <w:vAlign w:val="center"/>
            <w:hideMark/>
          </w:tcPr>
          <w:p w14:paraId="6D5CBDD8" w14:textId="77777777" w:rsidR="00D13A4A" w:rsidRPr="0032189D" w:rsidRDefault="00D13A4A" w:rsidP="00D13A4A">
            <w:pPr>
              <w:jc w:val="center"/>
              <w:rPr>
                <w:color w:val="000000"/>
                <w:sz w:val="20"/>
                <w:szCs w:val="20"/>
              </w:rPr>
            </w:pPr>
            <w:r w:rsidRPr="0032189D">
              <w:rPr>
                <w:rStyle w:val="Strong"/>
                <w:color w:val="000000"/>
                <w:sz w:val="20"/>
                <w:szCs w:val="20"/>
              </w:rPr>
              <w:t>+4.0</w:t>
            </w:r>
          </w:p>
        </w:tc>
      </w:tr>
      <w:tr w:rsidR="00D13A4A" w:rsidRPr="0032189D" w14:paraId="09FD6306" w14:textId="77777777" w:rsidTr="00D13A4A">
        <w:tc>
          <w:tcPr>
            <w:tcW w:w="0" w:type="auto"/>
            <w:tcBorders>
              <w:bottom w:val="single" w:sz="6" w:space="0" w:color="000000" w:themeColor="text1"/>
            </w:tcBorders>
            <w:tcMar>
              <w:top w:w="90" w:type="dxa"/>
              <w:left w:w="195" w:type="dxa"/>
              <w:bottom w:w="90" w:type="dxa"/>
              <w:right w:w="195" w:type="dxa"/>
            </w:tcMar>
            <w:vAlign w:val="center"/>
            <w:hideMark/>
          </w:tcPr>
          <w:p w14:paraId="0B3D6DB5" w14:textId="77777777" w:rsidR="00D13A4A" w:rsidRPr="0032189D" w:rsidRDefault="00D13A4A" w:rsidP="00D13A4A">
            <w:pPr>
              <w:rPr>
                <w:color w:val="000000"/>
                <w:sz w:val="20"/>
                <w:szCs w:val="20"/>
              </w:rPr>
            </w:pPr>
            <w:r w:rsidRPr="0032189D">
              <w:rPr>
                <w:color w:val="000000"/>
                <w:sz w:val="20"/>
                <w:szCs w:val="20"/>
              </w:rPr>
              <w:t>Llama 3.1 8B</w:t>
            </w:r>
          </w:p>
        </w:tc>
        <w:tc>
          <w:tcPr>
            <w:tcW w:w="0" w:type="auto"/>
            <w:tcBorders>
              <w:bottom w:val="single" w:sz="6" w:space="0" w:color="000000" w:themeColor="text1"/>
            </w:tcBorders>
            <w:tcMar>
              <w:top w:w="90" w:type="dxa"/>
              <w:left w:w="195" w:type="dxa"/>
              <w:bottom w:w="90" w:type="dxa"/>
              <w:right w:w="195" w:type="dxa"/>
            </w:tcMar>
            <w:vAlign w:val="center"/>
            <w:hideMark/>
          </w:tcPr>
          <w:p w14:paraId="4EA678E4" w14:textId="77777777" w:rsidR="00D13A4A" w:rsidRPr="0032189D" w:rsidRDefault="00D13A4A" w:rsidP="00D13A4A">
            <w:pPr>
              <w:jc w:val="center"/>
              <w:rPr>
                <w:color w:val="000000"/>
                <w:sz w:val="20"/>
                <w:szCs w:val="20"/>
              </w:rPr>
            </w:pPr>
            <w:r w:rsidRPr="0032189D">
              <w:rPr>
                <w:color w:val="000000"/>
                <w:sz w:val="20"/>
                <w:szCs w:val="20"/>
              </w:rPr>
              <w:t>58.7% (44/75)</w:t>
            </w:r>
          </w:p>
        </w:tc>
        <w:tc>
          <w:tcPr>
            <w:tcW w:w="1782" w:type="dxa"/>
            <w:tcBorders>
              <w:bottom w:val="single" w:sz="6" w:space="0" w:color="000000" w:themeColor="text1"/>
            </w:tcBorders>
            <w:tcMar>
              <w:top w:w="90" w:type="dxa"/>
              <w:left w:w="195" w:type="dxa"/>
              <w:bottom w:w="90" w:type="dxa"/>
              <w:right w:w="195" w:type="dxa"/>
            </w:tcMar>
            <w:vAlign w:val="center"/>
            <w:hideMark/>
          </w:tcPr>
          <w:p w14:paraId="6378AF3F" w14:textId="77777777" w:rsidR="00D13A4A" w:rsidRPr="0032189D" w:rsidRDefault="00D13A4A" w:rsidP="00D13A4A">
            <w:pPr>
              <w:jc w:val="center"/>
              <w:rPr>
                <w:color w:val="000000"/>
                <w:sz w:val="20"/>
                <w:szCs w:val="20"/>
              </w:rPr>
            </w:pPr>
            <w:r w:rsidRPr="0032189D">
              <w:rPr>
                <w:color w:val="000000"/>
                <w:sz w:val="20"/>
                <w:szCs w:val="20"/>
              </w:rPr>
              <w:t>34.7% (26/75)</w:t>
            </w:r>
          </w:p>
        </w:tc>
        <w:tc>
          <w:tcPr>
            <w:tcW w:w="410" w:type="dxa"/>
            <w:tcBorders>
              <w:bottom w:val="single" w:sz="6" w:space="0" w:color="000000" w:themeColor="text1"/>
            </w:tcBorders>
            <w:tcMar>
              <w:top w:w="90" w:type="dxa"/>
              <w:left w:w="195" w:type="dxa"/>
              <w:bottom w:w="90" w:type="dxa"/>
              <w:right w:w="195" w:type="dxa"/>
            </w:tcMar>
            <w:vAlign w:val="center"/>
            <w:hideMark/>
          </w:tcPr>
          <w:p w14:paraId="27E7FDB9" w14:textId="77777777" w:rsidR="00D13A4A" w:rsidRPr="0032189D" w:rsidRDefault="00D13A4A" w:rsidP="00D13A4A">
            <w:pPr>
              <w:jc w:val="center"/>
              <w:rPr>
                <w:color w:val="000000"/>
                <w:sz w:val="20"/>
                <w:szCs w:val="20"/>
              </w:rPr>
            </w:pPr>
            <w:r w:rsidRPr="0032189D">
              <w:rPr>
                <w:rStyle w:val="Strong"/>
                <w:color w:val="000000"/>
                <w:sz w:val="20"/>
                <w:szCs w:val="20"/>
              </w:rPr>
              <w:t>−24.0</w:t>
            </w:r>
          </w:p>
        </w:tc>
      </w:tr>
    </w:tbl>
    <w:p w14:paraId="2FEA95A0" w14:textId="751A0A2A" w:rsidR="00D13A4A" w:rsidRPr="00471846" w:rsidRDefault="00D13A4A" w:rsidP="00D13A4A">
      <w:pPr>
        <w:pStyle w:val="Caption"/>
        <w:framePr w:hSpace="0" w:wrap="auto" w:xAlign="left" w:yAlign="inline"/>
        <w:suppressOverlap w:val="0"/>
      </w:pPr>
      <w:r w:rsidRPr="00471846">
        <w:t xml:space="preserve">Table </w:t>
      </w:r>
      <w:fldSimple w:instr=" SEQ Table \* ARABIC ">
        <w:r w:rsidR="000B0AD5">
          <w:rPr>
            <w:noProof/>
          </w:rPr>
          <w:t>5</w:t>
        </w:r>
      </w:fldSimple>
      <w:r w:rsidRPr="00471846">
        <w:t>:</w:t>
      </w:r>
      <w:r w:rsidR="00DE08E0">
        <w:t xml:space="preserve"> </w:t>
      </w:r>
      <w:r w:rsidR="00DE08E0" w:rsidRPr="00DE08E0">
        <w:t>Exam accuracy (Q1</w:t>
      </w:r>
      <w:r w:rsidR="00D13760">
        <w:t>-</w:t>
      </w:r>
      <w:r w:rsidR="00DE08E0" w:rsidRPr="00DE08E0">
        <w:t>75, Protocol v3, strict MCQ).</w:t>
      </w:r>
    </w:p>
    <w:p w14:paraId="1D50AE9A" w14:textId="4BA9C719" w:rsidR="00077363" w:rsidRDefault="00DC1662" w:rsidP="00D50628">
      <w:pPr>
        <w:pStyle w:val="ACLTextFirstLine"/>
        <w:rPr>
          <w:sz w:val="22"/>
          <w:szCs w:val="22"/>
        </w:rPr>
      </w:pPr>
      <w:r w:rsidRPr="00886957">
        <w:rPr>
          <w:sz w:val="22"/>
          <w:szCs w:val="22"/>
        </w:rPr>
        <w:t>Fine-tuning effects are strikingly model-dependent. The smallest model (Gemma 2) improves most (13 questions gained vs. 6 lost); the largest (Llama) degrades catastrophically. Under v2 (no system prompt) both Phi and Llama drop −16.0 pp; under v3 Phi recovers to +4.0 pp while Llama worsens to −24.0 pp. The Phi v2→v3 swing (−16.0→+4.0 pp) shows that fine-tuning's sign can flip purely with the evaluation protocol, cautioning against premature conclusions.</w:t>
      </w:r>
    </w:p>
    <w:p w14:paraId="109A3D55" w14:textId="77777777" w:rsidR="0032189D" w:rsidRPr="00886957" w:rsidRDefault="0032189D" w:rsidP="006F452A">
      <w:pPr>
        <w:pStyle w:val="ACLTextFirstLine"/>
        <w:ind w:firstLine="0"/>
        <w:rPr>
          <w:sz w:val="22"/>
          <w:szCs w:val="22"/>
        </w:rPr>
      </w:pPr>
    </w:p>
    <w:tbl>
      <w:tblPr>
        <w:tblW w:w="0" w:type="auto"/>
        <w:tblCellMar>
          <w:left w:w="0" w:type="dxa"/>
          <w:right w:w="0" w:type="dxa"/>
        </w:tblCellMar>
        <w:tblLook w:val="04A0" w:firstRow="1" w:lastRow="0" w:firstColumn="1" w:lastColumn="0" w:noHBand="0" w:noVBand="1"/>
      </w:tblPr>
      <w:tblGrid>
        <w:gridCol w:w="1014"/>
        <w:gridCol w:w="1174"/>
        <w:gridCol w:w="1226"/>
        <w:gridCol w:w="955"/>
      </w:tblGrid>
      <w:tr w:rsidR="00ED129D" w:rsidRPr="0032189D" w14:paraId="10B99191" w14:textId="77777777" w:rsidTr="00CC6344">
        <w:trPr>
          <w:trHeight w:val="24"/>
          <w:tblHeader/>
        </w:trPr>
        <w:tc>
          <w:tcPr>
            <w:tcW w:w="1014" w:type="dxa"/>
            <w:tcBorders>
              <w:top w:val="single" w:sz="6" w:space="0" w:color="000000" w:themeColor="text1"/>
              <w:bottom w:val="single" w:sz="6" w:space="0" w:color="000000" w:themeColor="text1"/>
            </w:tcBorders>
            <w:tcMar>
              <w:top w:w="90" w:type="dxa"/>
              <w:left w:w="195" w:type="dxa"/>
              <w:bottom w:w="90" w:type="dxa"/>
              <w:right w:w="195" w:type="dxa"/>
            </w:tcMar>
            <w:vAlign w:val="center"/>
            <w:hideMark/>
          </w:tcPr>
          <w:p w14:paraId="7E7D0043" w14:textId="77777777" w:rsidR="00834D6E" w:rsidRPr="00834D6E" w:rsidRDefault="00834D6E" w:rsidP="00834D6E">
            <w:pPr>
              <w:pStyle w:val="ACLTextFirstLine"/>
              <w:spacing w:line="240" w:lineRule="auto"/>
              <w:ind w:firstLine="0"/>
              <w:rPr>
                <w:b/>
                <w:bCs/>
                <w:sz w:val="20"/>
                <w:szCs w:val="20"/>
              </w:rPr>
            </w:pPr>
            <w:r w:rsidRPr="00834D6E">
              <w:rPr>
                <w:b/>
                <w:bCs/>
                <w:sz w:val="20"/>
                <w:szCs w:val="20"/>
              </w:rPr>
              <w:lastRenderedPageBreak/>
              <w:t>Model</w:t>
            </w:r>
          </w:p>
        </w:tc>
        <w:tc>
          <w:tcPr>
            <w:tcW w:w="1174" w:type="dxa"/>
            <w:tcBorders>
              <w:top w:val="single" w:sz="6" w:space="0" w:color="000000" w:themeColor="text1"/>
              <w:bottom w:val="single" w:sz="6" w:space="0" w:color="000000" w:themeColor="text1"/>
            </w:tcBorders>
            <w:tcMar>
              <w:top w:w="90" w:type="dxa"/>
              <w:left w:w="195" w:type="dxa"/>
              <w:bottom w:w="90" w:type="dxa"/>
              <w:right w:w="195" w:type="dxa"/>
            </w:tcMar>
            <w:vAlign w:val="center"/>
            <w:hideMark/>
          </w:tcPr>
          <w:p w14:paraId="7DAFF877" w14:textId="77777777" w:rsidR="00834D6E" w:rsidRPr="0032189D" w:rsidRDefault="00834D6E" w:rsidP="00834D6E">
            <w:pPr>
              <w:pStyle w:val="ACLTextFirstLine"/>
              <w:spacing w:line="240" w:lineRule="auto"/>
              <w:ind w:firstLine="0"/>
              <w:rPr>
                <w:b/>
                <w:bCs/>
                <w:sz w:val="20"/>
                <w:szCs w:val="20"/>
              </w:rPr>
            </w:pPr>
            <w:r w:rsidRPr="0032189D">
              <w:rPr>
                <w:b/>
                <w:bCs/>
                <w:sz w:val="20"/>
                <w:szCs w:val="20"/>
              </w:rPr>
              <w:t>Educator</w:t>
            </w:r>
          </w:p>
          <w:p w14:paraId="78A836A7" w14:textId="5DC21C96" w:rsidR="00834D6E" w:rsidRPr="00834D6E" w:rsidRDefault="00834D6E" w:rsidP="00834D6E">
            <w:pPr>
              <w:pStyle w:val="ACLTextFirstLine"/>
              <w:spacing w:line="240" w:lineRule="auto"/>
              <w:ind w:firstLine="0"/>
              <w:rPr>
                <w:b/>
                <w:bCs/>
                <w:sz w:val="20"/>
                <w:szCs w:val="20"/>
              </w:rPr>
            </w:pPr>
            <w:r w:rsidRPr="0032189D">
              <w:rPr>
                <w:b/>
                <w:bCs/>
                <w:sz w:val="20"/>
                <w:szCs w:val="20"/>
              </w:rPr>
              <w:t>(v1)</w:t>
            </w:r>
          </w:p>
        </w:tc>
        <w:tc>
          <w:tcPr>
            <w:tcW w:w="1226" w:type="dxa"/>
            <w:tcBorders>
              <w:top w:val="single" w:sz="6" w:space="0" w:color="000000" w:themeColor="text1"/>
              <w:bottom w:val="single" w:sz="6" w:space="0" w:color="000000" w:themeColor="text1"/>
            </w:tcBorders>
            <w:tcMar>
              <w:top w:w="90" w:type="dxa"/>
              <w:left w:w="195" w:type="dxa"/>
              <w:bottom w:w="90" w:type="dxa"/>
              <w:right w:w="195" w:type="dxa"/>
            </w:tcMar>
            <w:vAlign w:val="center"/>
            <w:hideMark/>
          </w:tcPr>
          <w:p w14:paraId="192CD635" w14:textId="77777777" w:rsidR="00834D6E" w:rsidRPr="0032189D" w:rsidRDefault="00834D6E" w:rsidP="00834D6E">
            <w:pPr>
              <w:pStyle w:val="ACLTextFirstLine"/>
              <w:spacing w:line="240" w:lineRule="auto"/>
              <w:ind w:firstLine="0"/>
              <w:rPr>
                <w:b/>
                <w:bCs/>
                <w:sz w:val="20"/>
                <w:szCs w:val="20"/>
              </w:rPr>
            </w:pPr>
            <w:r w:rsidRPr="0032189D">
              <w:rPr>
                <w:b/>
                <w:bCs/>
                <w:sz w:val="20"/>
                <w:szCs w:val="20"/>
              </w:rPr>
              <w:t>No Prompt</w:t>
            </w:r>
          </w:p>
          <w:p w14:paraId="68459402" w14:textId="019A6C7A" w:rsidR="00834D6E" w:rsidRPr="00834D6E" w:rsidRDefault="00834D6E" w:rsidP="00834D6E">
            <w:pPr>
              <w:pStyle w:val="ACLTextFirstLine"/>
              <w:spacing w:line="240" w:lineRule="auto"/>
              <w:ind w:firstLine="0"/>
              <w:rPr>
                <w:b/>
                <w:bCs/>
                <w:sz w:val="20"/>
                <w:szCs w:val="20"/>
              </w:rPr>
            </w:pPr>
            <w:r w:rsidRPr="0032189D">
              <w:rPr>
                <w:b/>
                <w:bCs/>
                <w:sz w:val="20"/>
                <w:szCs w:val="20"/>
              </w:rPr>
              <w:t>(v2)</w:t>
            </w:r>
          </w:p>
        </w:tc>
        <w:tc>
          <w:tcPr>
            <w:tcW w:w="0" w:type="auto"/>
            <w:tcBorders>
              <w:top w:val="single" w:sz="6" w:space="0" w:color="000000" w:themeColor="text1"/>
              <w:bottom w:val="single" w:sz="6" w:space="0" w:color="000000" w:themeColor="text1"/>
            </w:tcBorders>
            <w:tcMar>
              <w:top w:w="90" w:type="dxa"/>
              <w:left w:w="195" w:type="dxa"/>
              <w:bottom w:w="90" w:type="dxa"/>
              <w:right w:w="195" w:type="dxa"/>
            </w:tcMar>
            <w:vAlign w:val="center"/>
            <w:hideMark/>
          </w:tcPr>
          <w:p w14:paraId="7960ECBD" w14:textId="77777777" w:rsidR="00834D6E" w:rsidRPr="0032189D" w:rsidRDefault="00834D6E" w:rsidP="00834D6E">
            <w:pPr>
              <w:pStyle w:val="ACLTextFirstLine"/>
              <w:spacing w:line="240" w:lineRule="auto"/>
              <w:ind w:firstLine="0"/>
              <w:rPr>
                <w:b/>
                <w:bCs/>
                <w:sz w:val="20"/>
                <w:szCs w:val="20"/>
              </w:rPr>
            </w:pPr>
            <w:r w:rsidRPr="00834D6E">
              <w:rPr>
                <w:b/>
                <w:bCs/>
                <w:sz w:val="20"/>
                <w:szCs w:val="20"/>
              </w:rPr>
              <w:t>Strict MCQ</w:t>
            </w:r>
          </w:p>
          <w:p w14:paraId="504C0DC8" w14:textId="3C13778D" w:rsidR="00834D6E" w:rsidRPr="00834D6E" w:rsidRDefault="00834D6E" w:rsidP="00834D6E">
            <w:pPr>
              <w:pStyle w:val="ACLTextFirstLine"/>
              <w:spacing w:line="240" w:lineRule="auto"/>
              <w:ind w:firstLine="0"/>
              <w:rPr>
                <w:b/>
                <w:bCs/>
                <w:sz w:val="20"/>
                <w:szCs w:val="20"/>
              </w:rPr>
            </w:pPr>
            <w:r w:rsidRPr="0032189D">
              <w:rPr>
                <w:b/>
                <w:bCs/>
                <w:sz w:val="20"/>
                <w:szCs w:val="20"/>
              </w:rPr>
              <w:t>(v3)</w:t>
            </w:r>
          </w:p>
        </w:tc>
      </w:tr>
      <w:tr w:rsidR="00FA5B48" w:rsidRPr="0032189D" w14:paraId="2DD4A429" w14:textId="77777777" w:rsidTr="00CC6344">
        <w:trPr>
          <w:trHeight w:val="24"/>
        </w:trPr>
        <w:tc>
          <w:tcPr>
            <w:tcW w:w="1014" w:type="dxa"/>
            <w:tcBorders>
              <w:top w:val="single" w:sz="6" w:space="0" w:color="000000" w:themeColor="text1"/>
            </w:tcBorders>
            <w:tcMar>
              <w:top w:w="90" w:type="dxa"/>
              <w:left w:w="195" w:type="dxa"/>
              <w:bottom w:w="90" w:type="dxa"/>
              <w:right w:w="195" w:type="dxa"/>
            </w:tcMar>
            <w:vAlign w:val="center"/>
            <w:hideMark/>
          </w:tcPr>
          <w:p w14:paraId="3A122E55" w14:textId="1AFD9AF2" w:rsidR="00834D6E" w:rsidRPr="00834D6E" w:rsidRDefault="00834D6E" w:rsidP="00834D6E">
            <w:pPr>
              <w:pStyle w:val="ACLTextFirstLine"/>
              <w:spacing w:line="240" w:lineRule="auto"/>
              <w:ind w:firstLine="0"/>
              <w:rPr>
                <w:sz w:val="20"/>
                <w:szCs w:val="20"/>
              </w:rPr>
            </w:pPr>
            <w:r w:rsidRPr="0032189D">
              <w:rPr>
                <w:sz w:val="20"/>
                <w:szCs w:val="20"/>
              </w:rPr>
              <w:t xml:space="preserve">Base </w:t>
            </w:r>
            <w:r w:rsidRPr="00834D6E">
              <w:rPr>
                <w:sz w:val="20"/>
                <w:szCs w:val="20"/>
              </w:rPr>
              <w:t>Phi-3.5</w:t>
            </w:r>
          </w:p>
        </w:tc>
        <w:tc>
          <w:tcPr>
            <w:tcW w:w="1174" w:type="dxa"/>
            <w:tcBorders>
              <w:top w:val="single" w:sz="6" w:space="0" w:color="000000" w:themeColor="text1"/>
            </w:tcBorders>
            <w:tcMar>
              <w:top w:w="90" w:type="dxa"/>
              <w:left w:w="195" w:type="dxa"/>
              <w:bottom w:w="90" w:type="dxa"/>
              <w:right w:w="195" w:type="dxa"/>
            </w:tcMar>
            <w:vAlign w:val="center"/>
            <w:hideMark/>
          </w:tcPr>
          <w:p w14:paraId="179A8D82" w14:textId="77777777" w:rsidR="00834D6E" w:rsidRPr="00834D6E" w:rsidRDefault="00834D6E" w:rsidP="00834D6E">
            <w:pPr>
              <w:pStyle w:val="ACLTextFirstLine"/>
              <w:spacing w:line="240" w:lineRule="auto"/>
              <w:ind w:firstLine="0"/>
              <w:rPr>
                <w:sz w:val="20"/>
                <w:szCs w:val="20"/>
              </w:rPr>
            </w:pPr>
            <w:r w:rsidRPr="00834D6E">
              <w:rPr>
                <w:sz w:val="20"/>
                <w:szCs w:val="20"/>
              </w:rPr>
              <w:t>49.3%</w:t>
            </w:r>
          </w:p>
        </w:tc>
        <w:tc>
          <w:tcPr>
            <w:tcW w:w="1226" w:type="dxa"/>
            <w:tcBorders>
              <w:top w:val="single" w:sz="6" w:space="0" w:color="000000" w:themeColor="text1"/>
            </w:tcBorders>
            <w:tcMar>
              <w:top w:w="90" w:type="dxa"/>
              <w:left w:w="195" w:type="dxa"/>
              <w:bottom w:w="90" w:type="dxa"/>
              <w:right w:w="195" w:type="dxa"/>
            </w:tcMar>
            <w:vAlign w:val="center"/>
            <w:hideMark/>
          </w:tcPr>
          <w:p w14:paraId="1F336F46" w14:textId="77777777" w:rsidR="00834D6E" w:rsidRPr="00834D6E" w:rsidRDefault="00834D6E" w:rsidP="00834D6E">
            <w:pPr>
              <w:pStyle w:val="ACLTextFirstLine"/>
              <w:spacing w:line="240" w:lineRule="auto"/>
              <w:ind w:firstLine="0"/>
              <w:rPr>
                <w:sz w:val="20"/>
                <w:szCs w:val="20"/>
              </w:rPr>
            </w:pPr>
            <w:r w:rsidRPr="00834D6E">
              <w:rPr>
                <w:sz w:val="20"/>
                <w:szCs w:val="20"/>
              </w:rPr>
              <w:t>68.0%</w:t>
            </w:r>
          </w:p>
        </w:tc>
        <w:tc>
          <w:tcPr>
            <w:tcW w:w="0" w:type="auto"/>
            <w:tcBorders>
              <w:top w:val="single" w:sz="6" w:space="0" w:color="000000" w:themeColor="text1"/>
            </w:tcBorders>
            <w:tcMar>
              <w:top w:w="90" w:type="dxa"/>
              <w:left w:w="195" w:type="dxa"/>
              <w:bottom w:w="90" w:type="dxa"/>
              <w:right w:w="195" w:type="dxa"/>
            </w:tcMar>
            <w:vAlign w:val="center"/>
            <w:hideMark/>
          </w:tcPr>
          <w:p w14:paraId="13408901" w14:textId="77777777" w:rsidR="00834D6E" w:rsidRPr="00834D6E" w:rsidRDefault="00834D6E" w:rsidP="00834D6E">
            <w:pPr>
              <w:pStyle w:val="ACLTextFirstLine"/>
              <w:spacing w:line="240" w:lineRule="auto"/>
              <w:ind w:firstLine="0"/>
              <w:rPr>
                <w:sz w:val="20"/>
                <w:szCs w:val="20"/>
              </w:rPr>
            </w:pPr>
            <w:r w:rsidRPr="00834D6E">
              <w:rPr>
                <w:sz w:val="20"/>
                <w:szCs w:val="20"/>
              </w:rPr>
              <w:t>52.0%</w:t>
            </w:r>
          </w:p>
        </w:tc>
      </w:tr>
      <w:tr w:rsidR="00886957" w:rsidRPr="0032189D" w14:paraId="63198635" w14:textId="77777777" w:rsidTr="00CC6344">
        <w:trPr>
          <w:trHeight w:val="25"/>
        </w:trPr>
        <w:tc>
          <w:tcPr>
            <w:tcW w:w="1014" w:type="dxa"/>
            <w:tcMar>
              <w:top w:w="90" w:type="dxa"/>
              <w:left w:w="195" w:type="dxa"/>
              <w:bottom w:w="90" w:type="dxa"/>
              <w:right w:w="195" w:type="dxa"/>
            </w:tcMar>
            <w:vAlign w:val="center"/>
            <w:hideMark/>
          </w:tcPr>
          <w:p w14:paraId="7A9E387A" w14:textId="77777777" w:rsidR="00834D6E" w:rsidRPr="0032189D" w:rsidRDefault="00834D6E" w:rsidP="00834D6E">
            <w:pPr>
              <w:pStyle w:val="ACLTextFirstLine"/>
              <w:spacing w:line="240" w:lineRule="auto"/>
              <w:ind w:firstLine="0"/>
              <w:rPr>
                <w:sz w:val="20"/>
                <w:szCs w:val="20"/>
              </w:rPr>
            </w:pPr>
            <w:r w:rsidRPr="0032189D">
              <w:rPr>
                <w:sz w:val="20"/>
                <w:szCs w:val="20"/>
              </w:rPr>
              <w:t>FT</w:t>
            </w:r>
          </w:p>
          <w:p w14:paraId="51AA8698" w14:textId="113A09FF" w:rsidR="00834D6E" w:rsidRPr="00834D6E" w:rsidRDefault="00834D6E" w:rsidP="00834D6E">
            <w:pPr>
              <w:pStyle w:val="ACLTextFirstLine"/>
              <w:spacing w:line="240" w:lineRule="auto"/>
              <w:ind w:firstLine="0"/>
              <w:rPr>
                <w:sz w:val="20"/>
                <w:szCs w:val="20"/>
              </w:rPr>
            </w:pPr>
            <w:r w:rsidRPr="00834D6E">
              <w:rPr>
                <w:sz w:val="20"/>
                <w:szCs w:val="20"/>
              </w:rPr>
              <w:t>Phi-3.5</w:t>
            </w:r>
          </w:p>
        </w:tc>
        <w:tc>
          <w:tcPr>
            <w:tcW w:w="1174" w:type="dxa"/>
            <w:tcMar>
              <w:top w:w="90" w:type="dxa"/>
              <w:left w:w="195" w:type="dxa"/>
              <w:bottom w:w="90" w:type="dxa"/>
              <w:right w:w="195" w:type="dxa"/>
            </w:tcMar>
            <w:vAlign w:val="center"/>
            <w:hideMark/>
          </w:tcPr>
          <w:p w14:paraId="40CB8C32" w14:textId="77777777" w:rsidR="00834D6E" w:rsidRPr="00834D6E" w:rsidRDefault="00834D6E" w:rsidP="00834D6E">
            <w:pPr>
              <w:pStyle w:val="ACLTextFirstLine"/>
              <w:spacing w:line="240" w:lineRule="auto"/>
              <w:ind w:firstLine="0"/>
              <w:rPr>
                <w:sz w:val="20"/>
                <w:szCs w:val="20"/>
              </w:rPr>
            </w:pPr>
            <w:r w:rsidRPr="00834D6E">
              <w:rPr>
                <w:sz w:val="20"/>
                <w:szCs w:val="20"/>
              </w:rPr>
              <w:t>41.3%</w:t>
            </w:r>
          </w:p>
        </w:tc>
        <w:tc>
          <w:tcPr>
            <w:tcW w:w="1226" w:type="dxa"/>
            <w:tcMar>
              <w:top w:w="90" w:type="dxa"/>
              <w:left w:w="195" w:type="dxa"/>
              <w:bottom w:w="90" w:type="dxa"/>
              <w:right w:w="195" w:type="dxa"/>
            </w:tcMar>
            <w:vAlign w:val="center"/>
            <w:hideMark/>
          </w:tcPr>
          <w:p w14:paraId="5BCE386C" w14:textId="77777777" w:rsidR="00834D6E" w:rsidRPr="00834D6E" w:rsidRDefault="00834D6E" w:rsidP="00834D6E">
            <w:pPr>
              <w:pStyle w:val="ACLTextFirstLine"/>
              <w:spacing w:line="240" w:lineRule="auto"/>
              <w:ind w:firstLine="0"/>
              <w:rPr>
                <w:sz w:val="20"/>
                <w:szCs w:val="20"/>
              </w:rPr>
            </w:pPr>
            <w:r w:rsidRPr="00834D6E">
              <w:rPr>
                <w:sz w:val="20"/>
                <w:szCs w:val="20"/>
              </w:rPr>
              <w:t>52.0%</w:t>
            </w:r>
          </w:p>
        </w:tc>
        <w:tc>
          <w:tcPr>
            <w:tcW w:w="0" w:type="auto"/>
            <w:tcMar>
              <w:top w:w="90" w:type="dxa"/>
              <w:left w:w="195" w:type="dxa"/>
              <w:bottom w:w="90" w:type="dxa"/>
              <w:right w:w="195" w:type="dxa"/>
            </w:tcMar>
            <w:vAlign w:val="center"/>
            <w:hideMark/>
          </w:tcPr>
          <w:p w14:paraId="11577468" w14:textId="77777777" w:rsidR="00834D6E" w:rsidRPr="00834D6E" w:rsidRDefault="00834D6E" w:rsidP="00834D6E">
            <w:pPr>
              <w:pStyle w:val="ACLTextFirstLine"/>
              <w:spacing w:line="240" w:lineRule="auto"/>
              <w:ind w:firstLine="0"/>
              <w:rPr>
                <w:sz w:val="20"/>
                <w:szCs w:val="20"/>
              </w:rPr>
            </w:pPr>
            <w:r w:rsidRPr="00834D6E">
              <w:rPr>
                <w:sz w:val="20"/>
                <w:szCs w:val="20"/>
              </w:rPr>
              <w:t>56.0%</w:t>
            </w:r>
          </w:p>
        </w:tc>
      </w:tr>
      <w:tr w:rsidR="00886957" w:rsidRPr="0032189D" w14:paraId="775C471F" w14:textId="77777777" w:rsidTr="00FA5B48">
        <w:tc>
          <w:tcPr>
            <w:tcW w:w="1014" w:type="dxa"/>
            <w:tcMar>
              <w:top w:w="90" w:type="dxa"/>
              <w:left w:w="195" w:type="dxa"/>
              <w:bottom w:w="90" w:type="dxa"/>
              <w:right w:w="195" w:type="dxa"/>
            </w:tcMar>
            <w:vAlign w:val="center"/>
            <w:hideMark/>
          </w:tcPr>
          <w:p w14:paraId="25762F59" w14:textId="6525A3A0" w:rsidR="00834D6E" w:rsidRPr="0032189D" w:rsidRDefault="00834D6E" w:rsidP="00834D6E">
            <w:pPr>
              <w:pStyle w:val="ACLTextFirstLine"/>
              <w:spacing w:line="240" w:lineRule="auto"/>
              <w:ind w:firstLine="0"/>
              <w:rPr>
                <w:sz w:val="20"/>
                <w:szCs w:val="20"/>
              </w:rPr>
            </w:pPr>
            <w:r w:rsidRPr="0032189D">
              <w:rPr>
                <w:sz w:val="20"/>
                <w:szCs w:val="20"/>
              </w:rPr>
              <w:t>Base</w:t>
            </w:r>
          </w:p>
          <w:p w14:paraId="653E8395" w14:textId="6750E536" w:rsidR="00834D6E" w:rsidRPr="00834D6E" w:rsidRDefault="00834D6E" w:rsidP="00834D6E">
            <w:pPr>
              <w:pStyle w:val="ACLTextFirstLine"/>
              <w:spacing w:line="240" w:lineRule="auto"/>
              <w:ind w:firstLine="0"/>
              <w:rPr>
                <w:sz w:val="20"/>
                <w:szCs w:val="20"/>
              </w:rPr>
            </w:pPr>
            <w:r w:rsidRPr="00834D6E">
              <w:rPr>
                <w:sz w:val="20"/>
                <w:szCs w:val="20"/>
              </w:rPr>
              <w:t>Llama 3.1</w:t>
            </w:r>
          </w:p>
        </w:tc>
        <w:tc>
          <w:tcPr>
            <w:tcW w:w="1174" w:type="dxa"/>
            <w:tcMar>
              <w:top w:w="90" w:type="dxa"/>
              <w:left w:w="195" w:type="dxa"/>
              <w:bottom w:w="90" w:type="dxa"/>
              <w:right w:w="195" w:type="dxa"/>
            </w:tcMar>
            <w:vAlign w:val="center"/>
            <w:hideMark/>
          </w:tcPr>
          <w:p w14:paraId="12B2416A" w14:textId="77777777" w:rsidR="00834D6E" w:rsidRPr="00834D6E" w:rsidRDefault="00834D6E" w:rsidP="00834D6E">
            <w:pPr>
              <w:pStyle w:val="ACLTextFirstLine"/>
              <w:spacing w:line="240" w:lineRule="auto"/>
              <w:ind w:firstLine="0"/>
              <w:rPr>
                <w:sz w:val="20"/>
                <w:szCs w:val="20"/>
              </w:rPr>
            </w:pPr>
            <w:r w:rsidRPr="00834D6E">
              <w:rPr>
                <w:sz w:val="20"/>
                <w:szCs w:val="20"/>
              </w:rPr>
              <w:t>56.0%</w:t>
            </w:r>
          </w:p>
        </w:tc>
        <w:tc>
          <w:tcPr>
            <w:tcW w:w="1226" w:type="dxa"/>
            <w:tcMar>
              <w:top w:w="90" w:type="dxa"/>
              <w:left w:w="195" w:type="dxa"/>
              <w:bottom w:w="90" w:type="dxa"/>
              <w:right w:w="195" w:type="dxa"/>
            </w:tcMar>
            <w:vAlign w:val="center"/>
            <w:hideMark/>
          </w:tcPr>
          <w:p w14:paraId="5B843574" w14:textId="77777777" w:rsidR="00834D6E" w:rsidRPr="00834D6E" w:rsidRDefault="00834D6E" w:rsidP="00834D6E">
            <w:pPr>
              <w:pStyle w:val="ACLTextFirstLine"/>
              <w:spacing w:line="240" w:lineRule="auto"/>
              <w:ind w:firstLine="0"/>
              <w:rPr>
                <w:sz w:val="20"/>
                <w:szCs w:val="20"/>
              </w:rPr>
            </w:pPr>
            <w:r w:rsidRPr="00834D6E">
              <w:rPr>
                <w:sz w:val="20"/>
                <w:szCs w:val="20"/>
              </w:rPr>
              <w:t>62.7%</w:t>
            </w:r>
          </w:p>
        </w:tc>
        <w:tc>
          <w:tcPr>
            <w:tcW w:w="0" w:type="auto"/>
            <w:tcMar>
              <w:top w:w="90" w:type="dxa"/>
              <w:left w:w="195" w:type="dxa"/>
              <w:bottom w:w="90" w:type="dxa"/>
              <w:right w:w="195" w:type="dxa"/>
            </w:tcMar>
            <w:vAlign w:val="center"/>
            <w:hideMark/>
          </w:tcPr>
          <w:p w14:paraId="7A039AF3" w14:textId="77777777" w:rsidR="00834D6E" w:rsidRPr="00834D6E" w:rsidRDefault="00834D6E" w:rsidP="00834D6E">
            <w:pPr>
              <w:pStyle w:val="ACLTextFirstLine"/>
              <w:spacing w:line="240" w:lineRule="auto"/>
              <w:ind w:firstLine="0"/>
              <w:rPr>
                <w:sz w:val="20"/>
                <w:szCs w:val="20"/>
              </w:rPr>
            </w:pPr>
            <w:r w:rsidRPr="00834D6E">
              <w:rPr>
                <w:sz w:val="20"/>
                <w:szCs w:val="20"/>
              </w:rPr>
              <w:t>58.7%</w:t>
            </w:r>
          </w:p>
        </w:tc>
      </w:tr>
      <w:tr w:rsidR="00886957" w:rsidRPr="0032189D" w14:paraId="6F69EB9A" w14:textId="77777777" w:rsidTr="00FA5B48">
        <w:tc>
          <w:tcPr>
            <w:tcW w:w="1014" w:type="dxa"/>
            <w:tcMar>
              <w:top w:w="90" w:type="dxa"/>
              <w:left w:w="195" w:type="dxa"/>
              <w:bottom w:w="90" w:type="dxa"/>
              <w:right w:w="195" w:type="dxa"/>
            </w:tcMar>
            <w:vAlign w:val="center"/>
            <w:hideMark/>
          </w:tcPr>
          <w:p w14:paraId="404CB174" w14:textId="685473A3" w:rsidR="00834D6E" w:rsidRPr="0032189D" w:rsidRDefault="00834D6E" w:rsidP="00834D6E">
            <w:pPr>
              <w:pStyle w:val="ACLTextFirstLine"/>
              <w:spacing w:line="240" w:lineRule="auto"/>
              <w:ind w:firstLine="0"/>
              <w:rPr>
                <w:sz w:val="20"/>
                <w:szCs w:val="20"/>
              </w:rPr>
            </w:pPr>
            <w:r w:rsidRPr="0032189D">
              <w:rPr>
                <w:sz w:val="20"/>
                <w:szCs w:val="20"/>
              </w:rPr>
              <w:t>FT</w:t>
            </w:r>
          </w:p>
          <w:p w14:paraId="2A217137" w14:textId="70030E68" w:rsidR="00834D6E" w:rsidRPr="00834D6E" w:rsidRDefault="00834D6E" w:rsidP="00834D6E">
            <w:pPr>
              <w:pStyle w:val="ACLTextFirstLine"/>
              <w:spacing w:line="240" w:lineRule="auto"/>
              <w:ind w:firstLine="0"/>
              <w:rPr>
                <w:sz w:val="20"/>
                <w:szCs w:val="20"/>
              </w:rPr>
            </w:pPr>
            <w:r w:rsidRPr="00834D6E">
              <w:rPr>
                <w:sz w:val="20"/>
                <w:szCs w:val="20"/>
              </w:rPr>
              <w:t>Llama 3.1</w:t>
            </w:r>
          </w:p>
        </w:tc>
        <w:tc>
          <w:tcPr>
            <w:tcW w:w="1174" w:type="dxa"/>
            <w:tcMar>
              <w:top w:w="90" w:type="dxa"/>
              <w:left w:w="195" w:type="dxa"/>
              <w:bottom w:w="90" w:type="dxa"/>
              <w:right w:w="195" w:type="dxa"/>
            </w:tcMar>
            <w:vAlign w:val="center"/>
            <w:hideMark/>
          </w:tcPr>
          <w:p w14:paraId="24A9B816" w14:textId="77777777" w:rsidR="00834D6E" w:rsidRPr="00834D6E" w:rsidRDefault="00834D6E" w:rsidP="00834D6E">
            <w:pPr>
              <w:pStyle w:val="ACLTextFirstLine"/>
              <w:spacing w:line="240" w:lineRule="auto"/>
              <w:ind w:firstLine="0"/>
              <w:rPr>
                <w:sz w:val="20"/>
                <w:szCs w:val="20"/>
              </w:rPr>
            </w:pPr>
            <w:r w:rsidRPr="00834D6E">
              <w:rPr>
                <w:sz w:val="20"/>
                <w:szCs w:val="20"/>
              </w:rPr>
              <w:t>45.3%</w:t>
            </w:r>
          </w:p>
        </w:tc>
        <w:tc>
          <w:tcPr>
            <w:tcW w:w="1226" w:type="dxa"/>
            <w:tcMar>
              <w:top w:w="90" w:type="dxa"/>
              <w:left w:w="195" w:type="dxa"/>
              <w:bottom w:w="90" w:type="dxa"/>
              <w:right w:w="195" w:type="dxa"/>
            </w:tcMar>
            <w:vAlign w:val="center"/>
            <w:hideMark/>
          </w:tcPr>
          <w:p w14:paraId="1E07F1D8" w14:textId="77777777" w:rsidR="00834D6E" w:rsidRPr="00834D6E" w:rsidRDefault="00834D6E" w:rsidP="00834D6E">
            <w:pPr>
              <w:pStyle w:val="ACLTextFirstLine"/>
              <w:spacing w:line="240" w:lineRule="auto"/>
              <w:ind w:firstLine="0"/>
              <w:rPr>
                <w:sz w:val="20"/>
                <w:szCs w:val="20"/>
              </w:rPr>
            </w:pPr>
            <w:r w:rsidRPr="00834D6E">
              <w:rPr>
                <w:sz w:val="20"/>
                <w:szCs w:val="20"/>
              </w:rPr>
              <w:t>46.7%</w:t>
            </w:r>
          </w:p>
        </w:tc>
        <w:tc>
          <w:tcPr>
            <w:tcW w:w="0" w:type="auto"/>
            <w:tcMar>
              <w:top w:w="90" w:type="dxa"/>
              <w:left w:w="195" w:type="dxa"/>
              <w:bottom w:w="90" w:type="dxa"/>
              <w:right w:w="195" w:type="dxa"/>
            </w:tcMar>
            <w:vAlign w:val="center"/>
            <w:hideMark/>
          </w:tcPr>
          <w:p w14:paraId="31D5BABE" w14:textId="77777777" w:rsidR="00834D6E" w:rsidRPr="00834D6E" w:rsidRDefault="00834D6E" w:rsidP="00834D6E">
            <w:pPr>
              <w:pStyle w:val="ACLTextFirstLine"/>
              <w:spacing w:line="240" w:lineRule="auto"/>
              <w:ind w:firstLine="0"/>
              <w:rPr>
                <w:sz w:val="20"/>
                <w:szCs w:val="20"/>
              </w:rPr>
            </w:pPr>
            <w:r w:rsidRPr="00834D6E">
              <w:rPr>
                <w:sz w:val="20"/>
                <w:szCs w:val="20"/>
              </w:rPr>
              <w:t>34.7%</w:t>
            </w:r>
          </w:p>
        </w:tc>
      </w:tr>
      <w:tr w:rsidR="00FA5B48" w:rsidRPr="0032189D" w14:paraId="5F3A7FBA" w14:textId="77777777" w:rsidTr="00CC6344">
        <w:trPr>
          <w:trHeight w:val="25"/>
        </w:trPr>
        <w:tc>
          <w:tcPr>
            <w:tcW w:w="1014" w:type="dxa"/>
            <w:tcMar>
              <w:top w:w="90" w:type="dxa"/>
              <w:left w:w="195" w:type="dxa"/>
              <w:bottom w:w="90" w:type="dxa"/>
              <w:right w:w="195" w:type="dxa"/>
            </w:tcMar>
            <w:vAlign w:val="center"/>
            <w:hideMark/>
          </w:tcPr>
          <w:p w14:paraId="15B9E2D0" w14:textId="4D8060A1" w:rsidR="00834D6E" w:rsidRPr="0032189D" w:rsidRDefault="00834D6E" w:rsidP="00834D6E">
            <w:pPr>
              <w:pStyle w:val="ACLTextFirstLine"/>
              <w:spacing w:line="240" w:lineRule="auto"/>
              <w:ind w:firstLine="0"/>
              <w:rPr>
                <w:sz w:val="20"/>
                <w:szCs w:val="20"/>
              </w:rPr>
            </w:pPr>
            <w:r w:rsidRPr="0032189D">
              <w:rPr>
                <w:sz w:val="20"/>
                <w:szCs w:val="20"/>
              </w:rPr>
              <w:t>Base</w:t>
            </w:r>
          </w:p>
          <w:p w14:paraId="4D807851" w14:textId="0AE531F3" w:rsidR="00834D6E" w:rsidRPr="00834D6E" w:rsidRDefault="00834D6E" w:rsidP="00834D6E">
            <w:pPr>
              <w:pStyle w:val="ACLTextFirstLine"/>
              <w:spacing w:line="240" w:lineRule="auto"/>
              <w:ind w:firstLine="0"/>
              <w:rPr>
                <w:sz w:val="20"/>
                <w:szCs w:val="20"/>
              </w:rPr>
            </w:pPr>
            <w:r w:rsidRPr="00834D6E">
              <w:rPr>
                <w:sz w:val="20"/>
                <w:szCs w:val="20"/>
              </w:rPr>
              <w:t>Gemma 2</w:t>
            </w:r>
          </w:p>
        </w:tc>
        <w:tc>
          <w:tcPr>
            <w:tcW w:w="1174" w:type="dxa"/>
            <w:tcMar>
              <w:top w:w="90" w:type="dxa"/>
              <w:left w:w="195" w:type="dxa"/>
              <w:bottom w:w="90" w:type="dxa"/>
              <w:right w:w="195" w:type="dxa"/>
            </w:tcMar>
            <w:vAlign w:val="center"/>
            <w:hideMark/>
          </w:tcPr>
          <w:p w14:paraId="65068E2A" w14:textId="77777777" w:rsidR="00834D6E" w:rsidRPr="00834D6E" w:rsidRDefault="00834D6E" w:rsidP="00834D6E">
            <w:pPr>
              <w:pStyle w:val="ACLTextFirstLine"/>
              <w:spacing w:line="240" w:lineRule="auto"/>
              <w:ind w:firstLine="0"/>
              <w:rPr>
                <w:sz w:val="20"/>
                <w:szCs w:val="20"/>
              </w:rPr>
            </w:pPr>
            <w:r w:rsidRPr="00834D6E">
              <w:rPr>
                <w:sz w:val="20"/>
                <w:szCs w:val="20"/>
              </w:rPr>
              <w:t>36.0%</w:t>
            </w:r>
          </w:p>
        </w:tc>
        <w:tc>
          <w:tcPr>
            <w:tcW w:w="1226" w:type="dxa"/>
            <w:tcMar>
              <w:top w:w="90" w:type="dxa"/>
              <w:left w:w="195" w:type="dxa"/>
              <w:bottom w:w="90" w:type="dxa"/>
              <w:right w:w="195" w:type="dxa"/>
            </w:tcMar>
            <w:vAlign w:val="center"/>
            <w:hideMark/>
          </w:tcPr>
          <w:p w14:paraId="4788C955" w14:textId="77777777" w:rsidR="00834D6E" w:rsidRPr="00834D6E" w:rsidRDefault="00834D6E" w:rsidP="00834D6E">
            <w:pPr>
              <w:pStyle w:val="ACLTextFirstLine"/>
              <w:spacing w:line="240" w:lineRule="auto"/>
              <w:ind w:firstLine="0"/>
              <w:rPr>
                <w:sz w:val="20"/>
                <w:szCs w:val="20"/>
              </w:rPr>
            </w:pPr>
            <w:r w:rsidRPr="00834D6E">
              <w:rPr>
                <w:sz w:val="20"/>
                <w:szCs w:val="20"/>
              </w:rPr>
              <w:t>61.3%</w:t>
            </w:r>
          </w:p>
        </w:tc>
        <w:tc>
          <w:tcPr>
            <w:tcW w:w="0" w:type="auto"/>
            <w:tcMar>
              <w:top w:w="90" w:type="dxa"/>
              <w:left w:w="195" w:type="dxa"/>
              <w:bottom w:w="90" w:type="dxa"/>
              <w:right w:w="195" w:type="dxa"/>
            </w:tcMar>
            <w:vAlign w:val="center"/>
            <w:hideMark/>
          </w:tcPr>
          <w:p w14:paraId="65A0A72E" w14:textId="77777777" w:rsidR="00834D6E" w:rsidRPr="00834D6E" w:rsidRDefault="00834D6E" w:rsidP="00834D6E">
            <w:pPr>
              <w:pStyle w:val="ACLTextFirstLine"/>
              <w:spacing w:line="240" w:lineRule="auto"/>
              <w:ind w:firstLine="0"/>
              <w:rPr>
                <w:sz w:val="20"/>
                <w:szCs w:val="20"/>
              </w:rPr>
            </w:pPr>
            <w:r w:rsidRPr="00834D6E">
              <w:rPr>
                <w:sz w:val="20"/>
                <w:szCs w:val="20"/>
              </w:rPr>
              <w:t>44.0%</w:t>
            </w:r>
          </w:p>
        </w:tc>
      </w:tr>
      <w:tr w:rsidR="00FA5B48" w:rsidRPr="0032189D" w14:paraId="708914BB" w14:textId="77777777" w:rsidTr="00CC6344">
        <w:trPr>
          <w:trHeight w:val="25"/>
        </w:trPr>
        <w:tc>
          <w:tcPr>
            <w:tcW w:w="1014" w:type="dxa"/>
            <w:tcBorders>
              <w:bottom w:val="single" w:sz="6" w:space="0" w:color="000000" w:themeColor="text1"/>
            </w:tcBorders>
            <w:tcMar>
              <w:top w:w="90" w:type="dxa"/>
              <w:left w:w="195" w:type="dxa"/>
              <w:bottom w:w="90" w:type="dxa"/>
              <w:right w:w="195" w:type="dxa"/>
            </w:tcMar>
            <w:vAlign w:val="center"/>
            <w:hideMark/>
          </w:tcPr>
          <w:p w14:paraId="36B40A27" w14:textId="304FDE42" w:rsidR="00834D6E" w:rsidRPr="0032189D" w:rsidRDefault="00834D6E" w:rsidP="00834D6E">
            <w:pPr>
              <w:pStyle w:val="ACLTextFirstLine"/>
              <w:spacing w:line="240" w:lineRule="auto"/>
              <w:ind w:firstLine="0"/>
              <w:rPr>
                <w:sz w:val="20"/>
                <w:szCs w:val="20"/>
              </w:rPr>
            </w:pPr>
            <w:r w:rsidRPr="0032189D">
              <w:rPr>
                <w:sz w:val="20"/>
                <w:szCs w:val="20"/>
              </w:rPr>
              <w:t>FT</w:t>
            </w:r>
          </w:p>
          <w:p w14:paraId="6242F19D" w14:textId="5107E39E" w:rsidR="00834D6E" w:rsidRPr="00834D6E" w:rsidRDefault="00834D6E" w:rsidP="00834D6E">
            <w:pPr>
              <w:pStyle w:val="ACLTextFirstLine"/>
              <w:spacing w:line="240" w:lineRule="auto"/>
              <w:ind w:firstLine="0"/>
              <w:rPr>
                <w:sz w:val="20"/>
                <w:szCs w:val="20"/>
              </w:rPr>
            </w:pPr>
            <w:r w:rsidRPr="00834D6E">
              <w:rPr>
                <w:sz w:val="20"/>
                <w:szCs w:val="20"/>
              </w:rPr>
              <w:t>Gemma 2</w:t>
            </w:r>
          </w:p>
        </w:tc>
        <w:tc>
          <w:tcPr>
            <w:tcW w:w="1174" w:type="dxa"/>
            <w:tcBorders>
              <w:bottom w:val="single" w:sz="6" w:space="0" w:color="000000" w:themeColor="text1"/>
            </w:tcBorders>
            <w:tcMar>
              <w:top w:w="90" w:type="dxa"/>
              <w:left w:w="195" w:type="dxa"/>
              <w:bottom w:w="90" w:type="dxa"/>
              <w:right w:w="195" w:type="dxa"/>
            </w:tcMar>
            <w:vAlign w:val="center"/>
            <w:hideMark/>
          </w:tcPr>
          <w:p w14:paraId="403B2F60" w14:textId="77777777" w:rsidR="00834D6E" w:rsidRPr="00834D6E" w:rsidRDefault="00834D6E" w:rsidP="00834D6E">
            <w:pPr>
              <w:pStyle w:val="ACLTextFirstLine"/>
              <w:spacing w:line="240" w:lineRule="auto"/>
              <w:ind w:firstLine="0"/>
              <w:rPr>
                <w:sz w:val="20"/>
                <w:szCs w:val="20"/>
              </w:rPr>
            </w:pPr>
            <w:r w:rsidRPr="00834D6E">
              <w:rPr>
                <w:sz w:val="20"/>
                <w:szCs w:val="20"/>
              </w:rPr>
              <w:t>34.7%</w:t>
            </w:r>
          </w:p>
        </w:tc>
        <w:tc>
          <w:tcPr>
            <w:tcW w:w="1226" w:type="dxa"/>
            <w:tcBorders>
              <w:bottom w:val="single" w:sz="6" w:space="0" w:color="000000" w:themeColor="text1"/>
            </w:tcBorders>
            <w:tcMar>
              <w:top w:w="90" w:type="dxa"/>
              <w:left w:w="195" w:type="dxa"/>
              <w:bottom w:w="90" w:type="dxa"/>
              <w:right w:w="195" w:type="dxa"/>
            </w:tcMar>
            <w:vAlign w:val="center"/>
            <w:hideMark/>
          </w:tcPr>
          <w:p w14:paraId="39953B09" w14:textId="77777777" w:rsidR="00834D6E" w:rsidRPr="00834D6E" w:rsidRDefault="00834D6E" w:rsidP="00834D6E">
            <w:pPr>
              <w:pStyle w:val="ACLTextFirstLine"/>
              <w:spacing w:line="240" w:lineRule="auto"/>
              <w:ind w:firstLine="0"/>
              <w:rPr>
                <w:sz w:val="20"/>
                <w:szCs w:val="20"/>
              </w:rPr>
            </w:pPr>
            <w:r w:rsidRPr="00834D6E">
              <w:rPr>
                <w:sz w:val="20"/>
                <w:szCs w:val="20"/>
              </w:rPr>
              <w:t>54.7%</w:t>
            </w:r>
          </w:p>
        </w:tc>
        <w:tc>
          <w:tcPr>
            <w:tcW w:w="0" w:type="auto"/>
            <w:tcBorders>
              <w:bottom w:val="single" w:sz="6" w:space="0" w:color="000000" w:themeColor="text1"/>
            </w:tcBorders>
            <w:tcMar>
              <w:top w:w="90" w:type="dxa"/>
              <w:left w:w="195" w:type="dxa"/>
              <w:bottom w:w="90" w:type="dxa"/>
              <w:right w:w="195" w:type="dxa"/>
            </w:tcMar>
            <w:vAlign w:val="center"/>
            <w:hideMark/>
          </w:tcPr>
          <w:p w14:paraId="2D0694D9" w14:textId="77777777" w:rsidR="00834D6E" w:rsidRPr="00834D6E" w:rsidRDefault="00834D6E" w:rsidP="00834D6E">
            <w:pPr>
              <w:pStyle w:val="ACLTextFirstLine"/>
              <w:spacing w:line="240" w:lineRule="auto"/>
              <w:ind w:firstLine="0"/>
              <w:rPr>
                <w:sz w:val="20"/>
                <w:szCs w:val="20"/>
              </w:rPr>
            </w:pPr>
            <w:r w:rsidRPr="00834D6E">
              <w:rPr>
                <w:sz w:val="20"/>
                <w:szCs w:val="20"/>
              </w:rPr>
              <w:t>53.3%</w:t>
            </w:r>
          </w:p>
        </w:tc>
      </w:tr>
    </w:tbl>
    <w:p w14:paraId="44F9AC85" w14:textId="55C75F0F" w:rsidR="00FA5B48" w:rsidRPr="00471846" w:rsidRDefault="00FA5B48" w:rsidP="00FA5B48">
      <w:pPr>
        <w:pStyle w:val="Caption"/>
        <w:framePr w:hSpace="0" w:wrap="auto" w:xAlign="left" w:yAlign="inline"/>
        <w:suppressOverlap w:val="0"/>
      </w:pPr>
      <w:r w:rsidRPr="00471846">
        <w:t xml:space="preserve">Table </w:t>
      </w:r>
      <w:fldSimple w:instr=" SEQ Table \* ARABIC ">
        <w:r w:rsidR="000B0AD5">
          <w:rPr>
            <w:noProof/>
          </w:rPr>
          <w:t>6</w:t>
        </w:r>
      </w:fldSimple>
      <w:r w:rsidRPr="00471846">
        <w:t>:</w:t>
      </w:r>
      <w:r>
        <w:t xml:space="preserve"> </w:t>
      </w:r>
      <w:r w:rsidRPr="00FA5B48">
        <w:t>Cross-protocol exam accuracy comparison</w:t>
      </w:r>
      <w:r>
        <w:t>.</w:t>
      </w:r>
    </w:p>
    <w:p w14:paraId="040906A0" w14:textId="19676FE9" w:rsidR="00DC1662" w:rsidRDefault="00A47216" w:rsidP="00515A56">
      <w:pPr>
        <w:pStyle w:val="ACLTextFirstLine"/>
        <w:rPr>
          <w:sz w:val="22"/>
          <w:szCs w:val="22"/>
        </w:rPr>
      </w:pPr>
      <w:r w:rsidRPr="00077363">
        <w:rPr>
          <w:sz w:val="22"/>
          <w:szCs w:val="22"/>
        </w:rPr>
        <w:t>The v2 protocol gives the highest base scores (Phi 68.0%, Llama 62.7%, Gemma 2 61.3%), suggesting any system prompt lowers baselines. Fine-tuned Phi improves under v3 (+4.0 pp) despite degrading under v2 (−16.0 pp). Llama FT degrades under all protocols and worsens with explicit format constraints (v1 45.3%, v2 46.7%, v3 34.7%), confirming deep behavioral entrenchment. Gemma 2 follows Phi's pattern: −1.3 pp (v1), −6.7 pp (v2), +9.3 pp (v3), confirming the strict MCQ prompt is essential to reveal knowledge gains.</w:t>
      </w:r>
    </w:p>
    <w:p w14:paraId="58FA7547" w14:textId="0FF5050D" w:rsidR="00874D6F" w:rsidRDefault="00874D6F" w:rsidP="00874D6F">
      <w:pPr>
        <w:pStyle w:val="ACLSubsection"/>
      </w:pPr>
      <w:r>
        <w:t>Response Verbosity</w:t>
      </w:r>
    </w:p>
    <w:tbl>
      <w:tblPr>
        <w:tblW w:w="0" w:type="auto"/>
        <w:tblCellMar>
          <w:left w:w="0" w:type="dxa"/>
          <w:right w:w="0" w:type="dxa"/>
        </w:tblCellMar>
        <w:tblLook w:val="04A0" w:firstRow="1" w:lastRow="0" w:firstColumn="1" w:lastColumn="0" w:noHBand="0" w:noVBand="1"/>
      </w:tblPr>
      <w:tblGrid>
        <w:gridCol w:w="1201"/>
        <w:gridCol w:w="1418"/>
        <w:gridCol w:w="1274"/>
      </w:tblGrid>
      <w:tr w:rsidR="00874D6F" w:rsidRPr="00874D6F" w14:paraId="4053E2B8" w14:textId="77777777" w:rsidTr="00874D6F">
        <w:trPr>
          <w:tblHeader/>
        </w:trPr>
        <w:tc>
          <w:tcPr>
            <w:tcW w:w="0" w:type="auto"/>
            <w:tcBorders>
              <w:top w:val="single" w:sz="6" w:space="0" w:color="000000" w:themeColor="text1"/>
              <w:bottom w:val="single" w:sz="6" w:space="0" w:color="000000" w:themeColor="text1"/>
            </w:tcBorders>
            <w:tcMar>
              <w:top w:w="90" w:type="dxa"/>
              <w:left w:w="195" w:type="dxa"/>
              <w:bottom w:w="90" w:type="dxa"/>
              <w:right w:w="195" w:type="dxa"/>
            </w:tcMar>
            <w:vAlign w:val="center"/>
            <w:hideMark/>
          </w:tcPr>
          <w:p w14:paraId="1B71F7F7" w14:textId="77777777" w:rsidR="00874D6F" w:rsidRPr="00874D6F" w:rsidRDefault="00874D6F" w:rsidP="00874D6F">
            <w:pPr>
              <w:jc w:val="center"/>
              <w:rPr>
                <w:b/>
                <w:bCs/>
                <w:color w:val="000000"/>
                <w:sz w:val="20"/>
                <w:szCs w:val="20"/>
              </w:rPr>
            </w:pPr>
            <w:r w:rsidRPr="00874D6F">
              <w:rPr>
                <w:b/>
                <w:bCs/>
                <w:color w:val="000000"/>
                <w:sz w:val="20"/>
                <w:szCs w:val="20"/>
              </w:rPr>
              <w:t>Model</w:t>
            </w:r>
          </w:p>
        </w:tc>
        <w:tc>
          <w:tcPr>
            <w:tcW w:w="0" w:type="auto"/>
            <w:tcBorders>
              <w:top w:val="single" w:sz="6" w:space="0" w:color="000000" w:themeColor="text1"/>
              <w:bottom w:val="single" w:sz="6" w:space="0" w:color="000000" w:themeColor="text1"/>
            </w:tcBorders>
            <w:tcMar>
              <w:top w:w="90" w:type="dxa"/>
              <w:left w:w="195" w:type="dxa"/>
              <w:bottom w:w="90" w:type="dxa"/>
              <w:right w:w="195" w:type="dxa"/>
            </w:tcMar>
            <w:vAlign w:val="center"/>
            <w:hideMark/>
          </w:tcPr>
          <w:p w14:paraId="7E428A08" w14:textId="77777777" w:rsidR="00874D6F" w:rsidRPr="00874D6F" w:rsidRDefault="00874D6F" w:rsidP="00874D6F">
            <w:pPr>
              <w:jc w:val="center"/>
              <w:rPr>
                <w:b/>
                <w:bCs/>
                <w:color w:val="000000"/>
                <w:sz w:val="20"/>
                <w:szCs w:val="20"/>
              </w:rPr>
            </w:pPr>
            <w:r w:rsidRPr="00874D6F">
              <w:rPr>
                <w:b/>
                <w:bCs/>
                <w:color w:val="000000"/>
                <w:sz w:val="20"/>
                <w:szCs w:val="20"/>
              </w:rPr>
              <w:t>Base Words</w:t>
            </w:r>
          </w:p>
        </w:tc>
        <w:tc>
          <w:tcPr>
            <w:tcW w:w="0" w:type="auto"/>
            <w:tcBorders>
              <w:top w:val="single" w:sz="6" w:space="0" w:color="000000" w:themeColor="text1"/>
              <w:bottom w:val="single" w:sz="6" w:space="0" w:color="000000" w:themeColor="text1"/>
            </w:tcBorders>
            <w:tcMar>
              <w:top w:w="90" w:type="dxa"/>
              <w:left w:w="195" w:type="dxa"/>
              <w:bottom w:w="90" w:type="dxa"/>
              <w:right w:w="195" w:type="dxa"/>
            </w:tcMar>
            <w:vAlign w:val="center"/>
            <w:hideMark/>
          </w:tcPr>
          <w:p w14:paraId="59B643CD" w14:textId="77777777" w:rsidR="00874D6F" w:rsidRPr="00874D6F" w:rsidRDefault="00874D6F" w:rsidP="00874D6F">
            <w:pPr>
              <w:jc w:val="center"/>
              <w:rPr>
                <w:b/>
                <w:bCs/>
                <w:color w:val="000000"/>
                <w:sz w:val="20"/>
                <w:szCs w:val="20"/>
              </w:rPr>
            </w:pPr>
            <w:r w:rsidRPr="00874D6F">
              <w:rPr>
                <w:b/>
                <w:bCs/>
                <w:color w:val="000000"/>
                <w:sz w:val="20"/>
                <w:szCs w:val="20"/>
              </w:rPr>
              <w:t>FT Words</w:t>
            </w:r>
          </w:p>
        </w:tc>
      </w:tr>
      <w:tr w:rsidR="00874D6F" w:rsidRPr="00874D6F" w14:paraId="726DD068" w14:textId="77777777" w:rsidTr="00874D6F">
        <w:tc>
          <w:tcPr>
            <w:tcW w:w="0" w:type="auto"/>
            <w:tcBorders>
              <w:top w:val="single" w:sz="6" w:space="0" w:color="000000" w:themeColor="text1"/>
            </w:tcBorders>
            <w:tcMar>
              <w:top w:w="90" w:type="dxa"/>
              <w:left w:w="195" w:type="dxa"/>
              <w:bottom w:w="90" w:type="dxa"/>
              <w:right w:w="195" w:type="dxa"/>
            </w:tcMar>
            <w:vAlign w:val="center"/>
            <w:hideMark/>
          </w:tcPr>
          <w:p w14:paraId="6D2D7F1D" w14:textId="77777777" w:rsidR="00874D6F" w:rsidRPr="00874D6F" w:rsidRDefault="00874D6F" w:rsidP="00874D6F">
            <w:pPr>
              <w:rPr>
                <w:color w:val="000000"/>
                <w:sz w:val="20"/>
                <w:szCs w:val="20"/>
              </w:rPr>
            </w:pPr>
            <w:r w:rsidRPr="00874D6F">
              <w:rPr>
                <w:color w:val="000000"/>
                <w:sz w:val="20"/>
                <w:szCs w:val="20"/>
              </w:rPr>
              <w:t>Gemma 2</w:t>
            </w:r>
          </w:p>
        </w:tc>
        <w:tc>
          <w:tcPr>
            <w:tcW w:w="0" w:type="auto"/>
            <w:tcBorders>
              <w:top w:val="single" w:sz="6" w:space="0" w:color="000000" w:themeColor="text1"/>
            </w:tcBorders>
            <w:tcMar>
              <w:top w:w="90" w:type="dxa"/>
              <w:left w:w="195" w:type="dxa"/>
              <w:bottom w:w="90" w:type="dxa"/>
              <w:right w:w="195" w:type="dxa"/>
            </w:tcMar>
            <w:vAlign w:val="center"/>
            <w:hideMark/>
          </w:tcPr>
          <w:p w14:paraId="05726650" w14:textId="77777777" w:rsidR="00874D6F" w:rsidRPr="00874D6F" w:rsidRDefault="00874D6F" w:rsidP="00874D6F">
            <w:pPr>
              <w:jc w:val="center"/>
              <w:rPr>
                <w:color w:val="000000"/>
                <w:sz w:val="20"/>
                <w:szCs w:val="20"/>
              </w:rPr>
            </w:pPr>
            <w:r w:rsidRPr="00874D6F">
              <w:rPr>
                <w:color w:val="000000"/>
                <w:sz w:val="20"/>
                <w:szCs w:val="20"/>
              </w:rPr>
              <w:t>7.9</w:t>
            </w:r>
          </w:p>
        </w:tc>
        <w:tc>
          <w:tcPr>
            <w:tcW w:w="0" w:type="auto"/>
            <w:tcBorders>
              <w:top w:val="single" w:sz="6" w:space="0" w:color="000000" w:themeColor="text1"/>
            </w:tcBorders>
            <w:tcMar>
              <w:top w:w="90" w:type="dxa"/>
              <w:left w:w="195" w:type="dxa"/>
              <w:bottom w:w="90" w:type="dxa"/>
              <w:right w:w="195" w:type="dxa"/>
            </w:tcMar>
            <w:vAlign w:val="center"/>
            <w:hideMark/>
          </w:tcPr>
          <w:p w14:paraId="10CBB866" w14:textId="77777777" w:rsidR="00874D6F" w:rsidRPr="00874D6F" w:rsidRDefault="00874D6F" w:rsidP="00874D6F">
            <w:pPr>
              <w:jc w:val="center"/>
              <w:rPr>
                <w:color w:val="000000"/>
                <w:sz w:val="20"/>
                <w:szCs w:val="20"/>
              </w:rPr>
            </w:pPr>
            <w:r w:rsidRPr="00874D6F">
              <w:rPr>
                <w:color w:val="000000"/>
                <w:sz w:val="20"/>
                <w:szCs w:val="20"/>
              </w:rPr>
              <w:t>8.4</w:t>
            </w:r>
          </w:p>
        </w:tc>
      </w:tr>
      <w:tr w:rsidR="00874D6F" w:rsidRPr="00874D6F" w14:paraId="533C8E32" w14:textId="77777777" w:rsidTr="00874D6F">
        <w:tc>
          <w:tcPr>
            <w:tcW w:w="0" w:type="auto"/>
            <w:tcMar>
              <w:top w:w="90" w:type="dxa"/>
              <w:left w:w="195" w:type="dxa"/>
              <w:bottom w:w="90" w:type="dxa"/>
              <w:right w:w="195" w:type="dxa"/>
            </w:tcMar>
            <w:vAlign w:val="center"/>
            <w:hideMark/>
          </w:tcPr>
          <w:p w14:paraId="79E11E30" w14:textId="77777777" w:rsidR="00874D6F" w:rsidRPr="00874D6F" w:rsidRDefault="00874D6F" w:rsidP="00874D6F">
            <w:pPr>
              <w:rPr>
                <w:color w:val="000000"/>
                <w:sz w:val="20"/>
                <w:szCs w:val="20"/>
              </w:rPr>
            </w:pPr>
            <w:r w:rsidRPr="00874D6F">
              <w:rPr>
                <w:color w:val="000000"/>
                <w:sz w:val="20"/>
                <w:szCs w:val="20"/>
              </w:rPr>
              <w:t>Phi-3.5</w:t>
            </w:r>
          </w:p>
        </w:tc>
        <w:tc>
          <w:tcPr>
            <w:tcW w:w="0" w:type="auto"/>
            <w:tcMar>
              <w:top w:w="90" w:type="dxa"/>
              <w:left w:w="195" w:type="dxa"/>
              <w:bottom w:w="90" w:type="dxa"/>
              <w:right w:w="195" w:type="dxa"/>
            </w:tcMar>
            <w:vAlign w:val="center"/>
            <w:hideMark/>
          </w:tcPr>
          <w:p w14:paraId="4C5013BE" w14:textId="77777777" w:rsidR="00874D6F" w:rsidRPr="00874D6F" w:rsidRDefault="00874D6F" w:rsidP="00874D6F">
            <w:pPr>
              <w:jc w:val="center"/>
              <w:rPr>
                <w:color w:val="000000"/>
                <w:sz w:val="20"/>
                <w:szCs w:val="20"/>
              </w:rPr>
            </w:pPr>
            <w:r w:rsidRPr="00874D6F">
              <w:rPr>
                <w:color w:val="000000"/>
                <w:sz w:val="20"/>
                <w:szCs w:val="20"/>
              </w:rPr>
              <w:t>11.6</w:t>
            </w:r>
          </w:p>
        </w:tc>
        <w:tc>
          <w:tcPr>
            <w:tcW w:w="0" w:type="auto"/>
            <w:tcMar>
              <w:top w:w="90" w:type="dxa"/>
              <w:left w:w="195" w:type="dxa"/>
              <w:bottom w:w="90" w:type="dxa"/>
              <w:right w:w="195" w:type="dxa"/>
            </w:tcMar>
            <w:vAlign w:val="center"/>
            <w:hideMark/>
          </w:tcPr>
          <w:p w14:paraId="3712470D" w14:textId="77777777" w:rsidR="00874D6F" w:rsidRPr="00874D6F" w:rsidRDefault="00874D6F" w:rsidP="00874D6F">
            <w:pPr>
              <w:jc w:val="center"/>
              <w:rPr>
                <w:color w:val="000000"/>
                <w:sz w:val="20"/>
                <w:szCs w:val="20"/>
              </w:rPr>
            </w:pPr>
            <w:r w:rsidRPr="00874D6F">
              <w:rPr>
                <w:color w:val="000000"/>
                <w:sz w:val="20"/>
                <w:szCs w:val="20"/>
              </w:rPr>
              <w:t>9.6</w:t>
            </w:r>
          </w:p>
        </w:tc>
      </w:tr>
      <w:tr w:rsidR="00874D6F" w:rsidRPr="00874D6F" w14:paraId="733DD235" w14:textId="77777777" w:rsidTr="00874D6F">
        <w:tc>
          <w:tcPr>
            <w:tcW w:w="0" w:type="auto"/>
            <w:tcBorders>
              <w:bottom w:val="single" w:sz="6" w:space="0" w:color="000000" w:themeColor="text1"/>
            </w:tcBorders>
            <w:tcMar>
              <w:top w:w="90" w:type="dxa"/>
              <w:left w:w="195" w:type="dxa"/>
              <w:bottom w:w="90" w:type="dxa"/>
              <w:right w:w="195" w:type="dxa"/>
            </w:tcMar>
            <w:vAlign w:val="center"/>
            <w:hideMark/>
          </w:tcPr>
          <w:p w14:paraId="5527F126" w14:textId="77777777" w:rsidR="00874D6F" w:rsidRPr="00874D6F" w:rsidRDefault="00874D6F" w:rsidP="00874D6F">
            <w:pPr>
              <w:rPr>
                <w:color w:val="000000"/>
                <w:sz w:val="20"/>
                <w:szCs w:val="20"/>
              </w:rPr>
            </w:pPr>
            <w:r w:rsidRPr="00874D6F">
              <w:rPr>
                <w:color w:val="000000"/>
                <w:sz w:val="20"/>
                <w:szCs w:val="20"/>
              </w:rPr>
              <w:t>Llama 3.1</w:t>
            </w:r>
          </w:p>
        </w:tc>
        <w:tc>
          <w:tcPr>
            <w:tcW w:w="0" w:type="auto"/>
            <w:tcBorders>
              <w:bottom w:val="single" w:sz="6" w:space="0" w:color="000000" w:themeColor="text1"/>
            </w:tcBorders>
            <w:tcMar>
              <w:top w:w="90" w:type="dxa"/>
              <w:left w:w="195" w:type="dxa"/>
              <w:bottom w:w="90" w:type="dxa"/>
              <w:right w:w="195" w:type="dxa"/>
            </w:tcMar>
            <w:vAlign w:val="center"/>
            <w:hideMark/>
          </w:tcPr>
          <w:p w14:paraId="785B289A" w14:textId="77777777" w:rsidR="00874D6F" w:rsidRPr="00874D6F" w:rsidRDefault="00874D6F" w:rsidP="00874D6F">
            <w:pPr>
              <w:jc w:val="center"/>
              <w:rPr>
                <w:color w:val="000000"/>
                <w:sz w:val="20"/>
                <w:szCs w:val="20"/>
              </w:rPr>
            </w:pPr>
            <w:r w:rsidRPr="00874D6F">
              <w:rPr>
                <w:color w:val="000000"/>
                <w:sz w:val="20"/>
                <w:szCs w:val="20"/>
              </w:rPr>
              <w:t>5.9</w:t>
            </w:r>
          </w:p>
        </w:tc>
        <w:tc>
          <w:tcPr>
            <w:tcW w:w="0" w:type="auto"/>
            <w:tcBorders>
              <w:bottom w:val="single" w:sz="6" w:space="0" w:color="000000" w:themeColor="text1"/>
            </w:tcBorders>
            <w:tcMar>
              <w:top w:w="90" w:type="dxa"/>
              <w:left w:w="195" w:type="dxa"/>
              <w:bottom w:w="90" w:type="dxa"/>
              <w:right w:w="195" w:type="dxa"/>
            </w:tcMar>
            <w:vAlign w:val="center"/>
            <w:hideMark/>
          </w:tcPr>
          <w:p w14:paraId="5C318811" w14:textId="77777777" w:rsidR="00874D6F" w:rsidRPr="00874D6F" w:rsidRDefault="00874D6F" w:rsidP="00874D6F">
            <w:pPr>
              <w:jc w:val="center"/>
              <w:rPr>
                <w:color w:val="000000"/>
                <w:sz w:val="20"/>
                <w:szCs w:val="20"/>
              </w:rPr>
            </w:pPr>
            <w:r w:rsidRPr="00874D6F">
              <w:rPr>
                <w:rStyle w:val="Strong"/>
                <w:color w:val="000000"/>
                <w:sz w:val="20"/>
                <w:szCs w:val="20"/>
              </w:rPr>
              <w:t>49.7</w:t>
            </w:r>
          </w:p>
        </w:tc>
      </w:tr>
    </w:tbl>
    <w:p w14:paraId="7B2B4E42" w14:textId="4B8F73CF" w:rsidR="007C77D4" w:rsidRPr="00471846" w:rsidRDefault="007C77D4" w:rsidP="007C77D4">
      <w:pPr>
        <w:pStyle w:val="Caption"/>
        <w:framePr w:hSpace="0" w:wrap="auto" w:xAlign="left" w:yAlign="inline"/>
        <w:suppressOverlap w:val="0"/>
      </w:pPr>
      <w:r w:rsidRPr="00471846">
        <w:t xml:space="preserve">Table </w:t>
      </w:r>
      <w:fldSimple w:instr=" SEQ Table \* ARABIC ">
        <w:r w:rsidR="000B0AD5">
          <w:rPr>
            <w:noProof/>
          </w:rPr>
          <w:t>7</w:t>
        </w:r>
      </w:fldSimple>
      <w:r w:rsidRPr="00471846">
        <w:t>:</w:t>
      </w:r>
      <w:r w:rsidRPr="007C77D4">
        <w:t xml:space="preserve"> Exam response verbosity (Protocol v3, 64-token max)</w:t>
      </w:r>
      <w:r>
        <w:t>.</w:t>
      </w:r>
    </w:p>
    <w:p w14:paraId="436B7E3B" w14:textId="6CE74CBE" w:rsidR="003A28BF" w:rsidRPr="003A28BF" w:rsidRDefault="003A28BF" w:rsidP="003A28BF">
      <w:pPr>
        <w:pStyle w:val="ACLTextFirstLine"/>
        <w:rPr>
          <w:sz w:val="22"/>
          <w:szCs w:val="22"/>
        </w:rPr>
      </w:pPr>
      <w:r w:rsidRPr="003A28BF">
        <w:rPr>
          <w:sz w:val="22"/>
          <w:szCs w:val="22"/>
        </w:rPr>
        <w:t xml:space="preserve">Gemma 2 shows virtually no verbosity change after fine-tuning (7.9→8.4 words). Phi becomes slightly more concise (11.6→9.6). Llama saturates the 64-token limit despite explicit “ONLY the letter” instructions — an order of magnitude more verbose than its base (5.9→49.7), a striking </w:t>
      </w:r>
      <w:r w:rsidRPr="003A28BF">
        <w:rPr>
          <w:sz w:val="22"/>
          <w:szCs w:val="22"/>
        </w:rPr>
        <w:t>override of prompt-level instructions by fine-tuning-induced behavior.</w:t>
      </w:r>
    </w:p>
    <w:p w14:paraId="0DD68729" w14:textId="77777777" w:rsidR="003A28BF" w:rsidRPr="003A28BF" w:rsidRDefault="003A28BF" w:rsidP="003A28BF">
      <w:pPr>
        <w:pStyle w:val="ACLTextFirstLine"/>
        <w:rPr>
          <w:sz w:val="22"/>
          <w:szCs w:val="22"/>
        </w:rPr>
      </w:pPr>
      <w:r w:rsidRPr="003A28BF">
        <w:rPr>
          <w:sz w:val="22"/>
          <w:szCs w:val="22"/>
        </w:rPr>
        <w:t>On general questions (Q76–222), Gemma 2 and Phi become 25–40% </w:t>
      </w:r>
      <w:r w:rsidRPr="003A28BF">
        <w:rPr>
          <w:i/>
          <w:iCs/>
          <w:sz w:val="22"/>
          <w:szCs w:val="22"/>
        </w:rPr>
        <w:t>more concise</w:t>
      </w:r>
      <w:r w:rsidRPr="003A28BF">
        <w:rPr>
          <w:sz w:val="22"/>
          <w:szCs w:val="22"/>
        </w:rPr>
        <w:t> while maintaining keyword coverage (Gemma 2: 528→398 words; Phi: 518→312 words). Llama becomes 33% more verbose (386→512 words), consistent with its exam behavior.</w:t>
      </w:r>
    </w:p>
    <w:p w14:paraId="7A0BEEAE" w14:textId="580E6127" w:rsidR="003A28BF" w:rsidRPr="003A28BF" w:rsidRDefault="003A28BF" w:rsidP="003A28BF">
      <w:pPr>
        <w:pStyle w:val="ACLTextFirstLine"/>
        <w:rPr>
          <w:sz w:val="22"/>
          <w:szCs w:val="22"/>
        </w:rPr>
      </w:pPr>
      <w:r w:rsidRPr="003A28BF">
        <w:rPr>
          <w:sz w:val="22"/>
          <w:szCs w:val="22"/>
        </w:rPr>
        <w:t>A training-data probe (10 questions, seed=42) confirmed genuine behavioral change rather than degradation: all 20 base-vs-fine-tuned comparisons differed. On familiar training-distribution questions fine-tuned Llama is more concise than base (−63% TLS handshake, −27% WMI exploitation), inverting its verbose MCQ behavior (5.9→49.7 words). The asymmetry shows the educator effect is format-dependent: on familiar formats the model terminates early; on unfamiliar formats (MCQ) it defaults to its trained explanatory mode.</w:t>
      </w:r>
    </w:p>
    <w:p w14:paraId="747E6425" w14:textId="35187A7E" w:rsidR="006E2A61" w:rsidRPr="00100BB5" w:rsidRDefault="00100BB5" w:rsidP="00100BB5">
      <w:pPr>
        <w:pStyle w:val="ACLSubsection"/>
        <w:rPr>
          <w:bCs/>
        </w:rPr>
      </w:pPr>
      <w:r w:rsidRPr="00100BB5">
        <w:rPr>
          <w:bCs/>
        </w:rPr>
        <w:t>Ablation: Curriculum vs. Randomized Data Ordering</w:t>
      </w:r>
    </w:p>
    <w:tbl>
      <w:tblPr>
        <w:tblW w:w="4050" w:type="dxa"/>
        <w:tblLayout w:type="fixed"/>
        <w:tblCellMar>
          <w:left w:w="0" w:type="dxa"/>
          <w:right w:w="0" w:type="dxa"/>
        </w:tblCellMar>
        <w:tblLook w:val="04A0" w:firstRow="1" w:lastRow="0" w:firstColumn="1" w:lastColumn="0" w:noHBand="0" w:noVBand="1"/>
      </w:tblPr>
      <w:tblGrid>
        <w:gridCol w:w="1170"/>
        <w:gridCol w:w="990"/>
        <w:gridCol w:w="990"/>
        <w:gridCol w:w="900"/>
      </w:tblGrid>
      <w:tr w:rsidR="00285B17" w:rsidRPr="00CC6344" w14:paraId="5C9AC43E" w14:textId="77777777" w:rsidTr="00285B17">
        <w:trPr>
          <w:trHeight w:val="599"/>
          <w:tblHeader/>
        </w:trPr>
        <w:tc>
          <w:tcPr>
            <w:tcW w:w="1170" w:type="dxa"/>
            <w:tcBorders>
              <w:top w:val="single" w:sz="6" w:space="0" w:color="000000" w:themeColor="text1"/>
              <w:bottom w:val="single" w:sz="6" w:space="0" w:color="000000" w:themeColor="text1"/>
            </w:tcBorders>
            <w:tcMar>
              <w:top w:w="90" w:type="dxa"/>
              <w:left w:w="195" w:type="dxa"/>
              <w:bottom w:w="90" w:type="dxa"/>
              <w:right w:w="195" w:type="dxa"/>
            </w:tcMar>
            <w:vAlign w:val="center"/>
            <w:hideMark/>
          </w:tcPr>
          <w:p w14:paraId="3B34DAE3" w14:textId="77777777" w:rsidR="00285B17" w:rsidRPr="00CC6344" w:rsidRDefault="00285B17" w:rsidP="00CC6344">
            <w:pPr>
              <w:pStyle w:val="ACLTextFirstLine"/>
              <w:spacing w:line="240" w:lineRule="auto"/>
              <w:ind w:firstLine="0"/>
              <w:rPr>
                <w:b/>
                <w:bCs/>
                <w:sz w:val="20"/>
                <w:szCs w:val="20"/>
              </w:rPr>
            </w:pPr>
            <w:r w:rsidRPr="00CC6344">
              <w:rPr>
                <w:b/>
                <w:bCs/>
                <w:sz w:val="20"/>
                <w:szCs w:val="20"/>
              </w:rPr>
              <w:t>Model</w:t>
            </w:r>
          </w:p>
        </w:tc>
        <w:tc>
          <w:tcPr>
            <w:tcW w:w="990" w:type="dxa"/>
            <w:tcBorders>
              <w:top w:val="single" w:sz="6" w:space="0" w:color="000000" w:themeColor="text1"/>
              <w:bottom w:val="single" w:sz="6" w:space="0" w:color="000000" w:themeColor="text1"/>
            </w:tcBorders>
            <w:tcMar>
              <w:top w:w="90" w:type="dxa"/>
              <w:left w:w="195" w:type="dxa"/>
              <w:bottom w:w="90" w:type="dxa"/>
              <w:right w:w="195" w:type="dxa"/>
            </w:tcMar>
            <w:vAlign w:val="center"/>
            <w:hideMark/>
          </w:tcPr>
          <w:p w14:paraId="1579298C" w14:textId="77777777" w:rsidR="00285B17" w:rsidRPr="00CC6344" w:rsidRDefault="00285B17" w:rsidP="00CC6344">
            <w:pPr>
              <w:pStyle w:val="ACLTextFirstLine"/>
              <w:spacing w:line="240" w:lineRule="auto"/>
              <w:ind w:firstLine="0"/>
              <w:rPr>
                <w:b/>
                <w:bCs/>
                <w:sz w:val="20"/>
                <w:szCs w:val="20"/>
              </w:rPr>
            </w:pPr>
            <w:r w:rsidRPr="00CC6344">
              <w:rPr>
                <w:b/>
                <w:bCs/>
                <w:sz w:val="20"/>
                <w:szCs w:val="20"/>
              </w:rPr>
              <w:t>Base</w:t>
            </w:r>
          </w:p>
        </w:tc>
        <w:tc>
          <w:tcPr>
            <w:tcW w:w="990" w:type="dxa"/>
            <w:tcBorders>
              <w:top w:val="single" w:sz="6" w:space="0" w:color="000000" w:themeColor="text1"/>
              <w:bottom w:val="single" w:sz="6" w:space="0" w:color="000000" w:themeColor="text1"/>
            </w:tcBorders>
            <w:tcMar>
              <w:top w:w="90" w:type="dxa"/>
              <w:left w:w="195" w:type="dxa"/>
              <w:bottom w:w="90" w:type="dxa"/>
              <w:right w:w="195" w:type="dxa"/>
            </w:tcMar>
            <w:vAlign w:val="center"/>
            <w:hideMark/>
          </w:tcPr>
          <w:p w14:paraId="643BA803" w14:textId="060C4EF4" w:rsidR="00285B17" w:rsidRPr="00CC6344" w:rsidRDefault="00285B17" w:rsidP="00CC6344">
            <w:pPr>
              <w:pStyle w:val="ACLTextFirstLine"/>
              <w:spacing w:line="240" w:lineRule="auto"/>
              <w:ind w:firstLine="0"/>
              <w:rPr>
                <w:b/>
                <w:bCs/>
                <w:sz w:val="20"/>
                <w:szCs w:val="20"/>
              </w:rPr>
            </w:pPr>
            <w:r w:rsidRPr="00CC6344">
              <w:rPr>
                <w:b/>
                <w:bCs/>
                <w:sz w:val="20"/>
                <w:szCs w:val="20"/>
              </w:rPr>
              <w:t>FT Acc</w:t>
            </w:r>
            <w:r>
              <w:rPr>
                <w:b/>
                <w:bCs/>
                <w:sz w:val="20"/>
                <w:szCs w:val="20"/>
              </w:rPr>
              <w:t>.</w:t>
            </w:r>
          </w:p>
        </w:tc>
        <w:tc>
          <w:tcPr>
            <w:tcW w:w="900" w:type="dxa"/>
            <w:tcBorders>
              <w:top w:val="single" w:sz="6" w:space="0" w:color="000000" w:themeColor="text1"/>
              <w:bottom w:val="single" w:sz="6" w:space="0" w:color="000000" w:themeColor="text1"/>
            </w:tcBorders>
            <w:tcMar>
              <w:top w:w="90" w:type="dxa"/>
              <w:left w:w="195" w:type="dxa"/>
              <w:bottom w:w="90" w:type="dxa"/>
              <w:right w:w="195" w:type="dxa"/>
            </w:tcMar>
            <w:vAlign w:val="center"/>
            <w:hideMark/>
          </w:tcPr>
          <w:p w14:paraId="0375E339" w14:textId="77777777" w:rsidR="00285B17" w:rsidRPr="00CC6344" w:rsidRDefault="00285B17" w:rsidP="00CC6344">
            <w:pPr>
              <w:pStyle w:val="ACLTextFirstLine"/>
              <w:spacing w:line="240" w:lineRule="auto"/>
              <w:ind w:firstLine="0"/>
              <w:rPr>
                <w:b/>
                <w:bCs/>
                <w:sz w:val="20"/>
                <w:szCs w:val="20"/>
              </w:rPr>
            </w:pPr>
            <w:r w:rsidRPr="00CC6344">
              <w:rPr>
                <w:b/>
                <w:bCs/>
                <w:sz w:val="20"/>
                <w:szCs w:val="20"/>
              </w:rPr>
              <w:t>Loss</w:t>
            </w:r>
          </w:p>
        </w:tc>
      </w:tr>
      <w:tr w:rsidR="00285B17" w:rsidRPr="00CC6344" w14:paraId="41A5A102" w14:textId="77777777" w:rsidTr="00285B17">
        <w:trPr>
          <w:trHeight w:val="122"/>
        </w:trPr>
        <w:tc>
          <w:tcPr>
            <w:tcW w:w="1170" w:type="dxa"/>
            <w:tcBorders>
              <w:top w:val="single" w:sz="6" w:space="0" w:color="000000" w:themeColor="text1"/>
            </w:tcBorders>
            <w:tcMar>
              <w:top w:w="90" w:type="dxa"/>
              <w:left w:w="195" w:type="dxa"/>
              <w:bottom w:w="90" w:type="dxa"/>
              <w:right w:w="195" w:type="dxa"/>
            </w:tcMar>
            <w:vAlign w:val="center"/>
            <w:hideMark/>
          </w:tcPr>
          <w:p w14:paraId="794AEC6D" w14:textId="77777777" w:rsidR="00285B17" w:rsidRDefault="00285B17" w:rsidP="00CC6344">
            <w:pPr>
              <w:pStyle w:val="ACLTextFirstLine"/>
              <w:spacing w:line="240" w:lineRule="auto"/>
              <w:ind w:firstLine="0"/>
              <w:rPr>
                <w:sz w:val="20"/>
                <w:szCs w:val="20"/>
              </w:rPr>
            </w:pPr>
            <w:r w:rsidRPr="00CC6344">
              <w:rPr>
                <w:sz w:val="20"/>
                <w:szCs w:val="20"/>
              </w:rPr>
              <w:t>Phi-3.5</w:t>
            </w:r>
          </w:p>
          <w:p w14:paraId="386763C1" w14:textId="66D3DEB5" w:rsidR="00285B17" w:rsidRPr="00CC6344" w:rsidRDefault="00285B17" w:rsidP="00CC6344">
            <w:pPr>
              <w:pStyle w:val="ACLTextFirstLine"/>
              <w:spacing w:line="240" w:lineRule="auto"/>
              <w:ind w:firstLine="0"/>
              <w:rPr>
                <w:sz w:val="20"/>
                <w:szCs w:val="20"/>
              </w:rPr>
            </w:pPr>
            <w:r>
              <w:rPr>
                <w:sz w:val="20"/>
                <w:szCs w:val="20"/>
              </w:rPr>
              <w:t>(Curr.)</w:t>
            </w:r>
          </w:p>
        </w:tc>
        <w:tc>
          <w:tcPr>
            <w:tcW w:w="990" w:type="dxa"/>
            <w:tcBorders>
              <w:top w:val="single" w:sz="6" w:space="0" w:color="000000" w:themeColor="text1"/>
            </w:tcBorders>
            <w:tcMar>
              <w:top w:w="90" w:type="dxa"/>
              <w:left w:w="195" w:type="dxa"/>
              <w:bottom w:w="90" w:type="dxa"/>
              <w:right w:w="195" w:type="dxa"/>
            </w:tcMar>
            <w:vAlign w:val="center"/>
            <w:hideMark/>
          </w:tcPr>
          <w:p w14:paraId="23677647" w14:textId="77777777" w:rsidR="00285B17" w:rsidRPr="00CC6344" w:rsidRDefault="00285B17" w:rsidP="00CC6344">
            <w:pPr>
              <w:pStyle w:val="ACLTextFirstLine"/>
              <w:spacing w:line="240" w:lineRule="auto"/>
              <w:ind w:firstLine="0"/>
              <w:rPr>
                <w:sz w:val="20"/>
                <w:szCs w:val="20"/>
              </w:rPr>
            </w:pPr>
            <w:r w:rsidRPr="00CC6344">
              <w:rPr>
                <w:sz w:val="20"/>
                <w:szCs w:val="20"/>
              </w:rPr>
              <w:t>52.0% (39/75)</w:t>
            </w:r>
          </w:p>
        </w:tc>
        <w:tc>
          <w:tcPr>
            <w:tcW w:w="990" w:type="dxa"/>
            <w:tcBorders>
              <w:top w:val="single" w:sz="6" w:space="0" w:color="000000" w:themeColor="text1"/>
            </w:tcBorders>
            <w:tcMar>
              <w:top w:w="90" w:type="dxa"/>
              <w:left w:w="195" w:type="dxa"/>
              <w:bottom w:w="90" w:type="dxa"/>
              <w:right w:w="195" w:type="dxa"/>
            </w:tcMar>
            <w:vAlign w:val="center"/>
            <w:hideMark/>
          </w:tcPr>
          <w:p w14:paraId="53313C50" w14:textId="77777777" w:rsidR="00285B17" w:rsidRPr="00CC6344" w:rsidRDefault="00285B17" w:rsidP="00CC6344">
            <w:pPr>
              <w:pStyle w:val="ACLTextFirstLine"/>
              <w:spacing w:line="240" w:lineRule="auto"/>
              <w:ind w:firstLine="0"/>
              <w:rPr>
                <w:sz w:val="20"/>
                <w:szCs w:val="20"/>
              </w:rPr>
            </w:pPr>
            <w:r w:rsidRPr="00CC6344">
              <w:rPr>
                <w:sz w:val="20"/>
                <w:szCs w:val="20"/>
              </w:rPr>
              <w:t>56.0% (42/75)</w:t>
            </w:r>
          </w:p>
        </w:tc>
        <w:tc>
          <w:tcPr>
            <w:tcW w:w="900" w:type="dxa"/>
            <w:tcBorders>
              <w:top w:val="single" w:sz="6" w:space="0" w:color="000000" w:themeColor="text1"/>
            </w:tcBorders>
            <w:tcMar>
              <w:top w:w="90" w:type="dxa"/>
              <w:left w:w="195" w:type="dxa"/>
              <w:bottom w:w="90" w:type="dxa"/>
              <w:right w:w="195" w:type="dxa"/>
            </w:tcMar>
            <w:vAlign w:val="center"/>
            <w:hideMark/>
          </w:tcPr>
          <w:p w14:paraId="112132C6" w14:textId="77777777" w:rsidR="00285B17" w:rsidRPr="00CC6344" w:rsidRDefault="00285B17" w:rsidP="00CC6344">
            <w:pPr>
              <w:pStyle w:val="ACLTextFirstLine"/>
              <w:spacing w:line="240" w:lineRule="auto"/>
              <w:ind w:firstLine="0"/>
              <w:rPr>
                <w:sz w:val="20"/>
                <w:szCs w:val="20"/>
              </w:rPr>
            </w:pPr>
            <w:r w:rsidRPr="00CC6344">
              <w:rPr>
                <w:sz w:val="20"/>
                <w:szCs w:val="20"/>
              </w:rPr>
              <w:t>0.879</w:t>
            </w:r>
          </w:p>
        </w:tc>
      </w:tr>
      <w:tr w:rsidR="00285B17" w:rsidRPr="00CC6344" w14:paraId="0A3551B8" w14:textId="77777777" w:rsidTr="00285B17">
        <w:trPr>
          <w:trHeight w:val="24"/>
        </w:trPr>
        <w:tc>
          <w:tcPr>
            <w:tcW w:w="1170" w:type="dxa"/>
            <w:tcMar>
              <w:top w:w="90" w:type="dxa"/>
              <w:left w:w="195" w:type="dxa"/>
              <w:bottom w:w="90" w:type="dxa"/>
              <w:right w:w="195" w:type="dxa"/>
            </w:tcMar>
            <w:vAlign w:val="center"/>
            <w:hideMark/>
          </w:tcPr>
          <w:p w14:paraId="347072C4" w14:textId="77777777" w:rsidR="00285B17" w:rsidRDefault="00285B17" w:rsidP="00CC6344">
            <w:pPr>
              <w:pStyle w:val="ACLTextFirstLine"/>
              <w:spacing w:line="240" w:lineRule="auto"/>
              <w:ind w:firstLine="0"/>
              <w:rPr>
                <w:sz w:val="20"/>
                <w:szCs w:val="20"/>
              </w:rPr>
            </w:pPr>
            <w:r w:rsidRPr="00CC6344">
              <w:rPr>
                <w:sz w:val="20"/>
                <w:szCs w:val="20"/>
              </w:rPr>
              <w:t>Phi-3.5</w:t>
            </w:r>
          </w:p>
          <w:p w14:paraId="0A1EA3B8" w14:textId="40413664" w:rsidR="00285B17" w:rsidRPr="00CC6344" w:rsidRDefault="00285B17" w:rsidP="00CC6344">
            <w:pPr>
              <w:pStyle w:val="ACLTextFirstLine"/>
              <w:spacing w:line="240" w:lineRule="auto"/>
              <w:ind w:firstLine="0"/>
              <w:rPr>
                <w:sz w:val="20"/>
                <w:szCs w:val="20"/>
              </w:rPr>
            </w:pPr>
            <w:r>
              <w:rPr>
                <w:sz w:val="20"/>
                <w:szCs w:val="20"/>
              </w:rPr>
              <w:t>(Rand.)</w:t>
            </w:r>
          </w:p>
        </w:tc>
        <w:tc>
          <w:tcPr>
            <w:tcW w:w="990" w:type="dxa"/>
            <w:tcMar>
              <w:top w:w="90" w:type="dxa"/>
              <w:left w:w="195" w:type="dxa"/>
              <w:bottom w:w="90" w:type="dxa"/>
              <w:right w:w="195" w:type="dxa"/>
            </w:tcMar>
            <w:vAlign w:val="center"/>
            <w:hideMark/>
          </w:tcPr>
          <w:p w14:paraId="2160DA81" w14:textId="77777777" w:rsidR="00285B17" w:rsidRPr="00CC6344" w:rsidRDefault="00285B17" w:rsidP="00CC6344">
            <w:pPr>
              <w:pStyle w:val="ACLTextFirstLine"/>
              <w:spacing w:line="240" w:lineRule="auto"/>
              <w:ind w:firstLine="0"/>
              <w:rPr>
                <w:sz w:val="20"/>
                <w:szCs w:val="20"/>
              </w:rPr>
            </w:pPr>
            <w:r w:rsidRPr="00CC6344">
              <w:rPr>
                <w:sz w:val="20"/>
                <w:szCs w:val="20"/>
              </w:rPr>
              <w:t>50.7% (38/75)</w:t>
            </w:r>
          </w:p>
        </w:tc>
        <w:tc>
          <w:tcPr>
            <w:tcW w:w="990" w:type="dxa"/>
            <w:tcMar>
              <w:top w:w="90" w:type="dxa"/>
              <w:left w:w="195" w:type="dxa"/>
              <w:bottom w:w="90" w:type="dxa"/>
              <w:right w:w="195" w:type="dxa"/>
            </w:tcMar>
            <w:vAlign w:val="center"/>
            <w:hideMark/>
          </w:tcPr>
          <w:p w14:paraId="1BAB55D7" w14:textId="77777777" w:rsidR="00285B17" w:rsidRPr="00CC6344" w:rsidRDefault="00285B17" w:rsidP="00CC6344">
            <w:pPr>
              <w:pStyle w:val="ACLTextFirstLine"/>
              <w:spacing w:line="240" w:lineRule="auto"/>
              <w:ind w:firstLine="0"/>
              <w:rPr>
                <w:sz w:val="20"/>
                <w:szCs w:val="20"/>
              </w:rPr>
            </w:pPr>
            <w:r w:rsidRPr="00CC6344">
              <w:rPr>
                <w:sz w:val="20"/>
                <w:szCs w:val="20"/>
              </w:rPr>
              <w:t>65.3% (49/75)</w:t>
            </w:r>
          </w:p>
        </w:tc>
        <w:tc>
          <w:tcPr>
            <w:tcW w:w="900" w:type="dxa"/>
            <w:tcMar>
              <w:top w:w="90" w:type="dxa"/>
              <w:left w:w="195" w:type="dxa"/>
              <w:bottom w:w="90" w:type="dxa"/>
              <w:right w:w="195" w:type="dxa"/>
            </w:tcMar>
            <w:vAlign w:val="center"/>
            <w:hideMark/>
          </w:tcPr>
          <w:p w14:paraId="4A32640E" w14:textId="77777777" w:rsidR="00285B17" w:rsidRPr="00CC6344" w:rsidRDefault="00285B17" w:rsidP="00CC6344">
            <w:pPr>
              <w:pStyle w:val="ACLTextFirstLine"/>
              <w:spacing w:line="240" w:lineRule="auto"/>
              <w:ind w:firstLine="0"/>
              <w:rPr>
                <w:sz w:val="20"/>
                <w:szCs w:val="20"/>
              </w:rPr>
            </w:pPr>
            <w:r w:rsidRPr="00CC6344">
              <w:rPr>
                <w:sz w:val="20"/>
                <w:szCs w:val="20"/>
              </w:rPr>
              <w:t>0.859</w:t>
            </w:r>
          </w:p>
        </w:tc>
      </w:tr>
      <w:tr w:rsidR="00285B17" w:rsidRPr="00CC6344" w14:paraId="458366C6" w14:textId="77777777" w:rsidTr="00285B17">
        <w:trPr>
          <w:trHeight w:val="24"/>
        </w:trPr>
        <w:tc>
          <w:tcPr>
            <w:tcW w:w="1170" w:type="dxa"/>
            <w:tcMar>
              <w:top w:w="90" w:type="dxa"/>
              <w:left w:w="195" w:type="dxa"/>
              <w:bottom w:w="90" w:type="dxa"/>
              <w:right w:w="195" w:type="dxa"/>
            </w:tcMar>
            <w:vAlign w:val="center"/>
            <w:hideMark/>
          </w:tcPr>
          <w:p w14:paraId="394D2884" w14:textId="77777777" w:rsidR="00285B17" w:rsidRDefault="00285B17" w:rsidP="00CC6344">
            <w:pPr>
              <w:pStyle w:val="ACLTextFirstLine"/>
              <w:spacing w:line="240" w:lineRule="auto"/>
              <w:ind w:firstLine="0"/>
              <w:rPr>
                <w:sz w:val="20"/>
                <w:szCs w:val="20"/>
              </w:rPr>
            </w:pPr>
            <w:r w:rsidRPr="00CC6344">
              <w:rPr>
                <w:sz w:val="20"/>
                <w:szCs w:val="20"/>
              </w:rPr>
              <w:t>Gemma 2</w:t>
            </w:r>
          </w:p>
          <w:p w14:paraId="3A8CB126" w14:textId="7F80EC7B" w:rsidR="00285B17" w:rsidRPr="00CC6344" w:rsidRDefault="00285B17" w:rsidP="00CC6344">
            <w:pPr>
              <w:pStyle w:val="ACLTextFirstLine"/>
              <w:spacing w:line="240" w:lineRule="auto"/>
              <w:ind w:firstLine="0"/>
              <w:rPr>
                <w:sz w:val="20"/>
                <w:szCs w:val="20"/>
              </w:rPr>
            </w:pPr>
            <w:r>
              <w:rPr>
                <w:sz w:val="20"/>
                <w:szCs w:val="20"/>
              </w:rPr>
              <w:t>(Curr.)</w:t>
            </w:r>
          </w:p>
        </w:tc>
        <w:tc>
          <w:tcPr>
            <w:tcW w:w="990" w:type="dxa"/>
            <w:tcMar>
              <w:top w:w="90" w:type="dxa"/>
              <w:left w:w="195" w:type="dxa"/>
              <w:bottom w:w="90" w:type="dxa"/>
              <w:right w:w="195" w:type="dxa"/>
            </w:tcMar>
            <w:vAlign w:val="center"/>
            <w:hideMark/>
          </w:tcPr>
          <w:p w14:paraId="14E4E36E" w14:textId="77777777" w:rsidR="00285B17" w:rsidRPr="00CC6344" w:rsidRDefault="00285B17" w:rsidP="00CC6344">
            <w:pPr>
              <w:pStyle w:val="ACLTextFirstLine"/>
              <w:spacing w:line="240" w:lineRule="auto"/>
              <w:ind w:firstLine="0"/>
              <w:rPr>
                <w:sz w:val="20"/>
                <w:szCs w:val="20"/>
              </w:rPr>
            </w:pPr>
            <w:r w:rsidRPr="00CC6344">
              <w:rPr>
                <w:sz w:val="20"/>
                <w:szCs w:val="20"/>
              </w:rPr>
              <w:t>44.0% (33/75)</w:t>
            </w:r>
          </w:p>
        </w:tc>
        <w:tc>
          <w:tcPr>
            <w:tcW w:w="990" w:type="dxa"/>
            <w:tcMar>
              <w:top w:w="90" w:type="dxa"/>
              <w:left w:w="195" w:type="dxa"/>
              <w:bottom w:w="90" w:type="dxa"/>
              <w:right w:w="195" w:type="dxa"/>
            </w:tcMar>
            <w:vAlign w:val="center"/>
            <w:hideMark/>
          </w:tcPr>
          <w:p w14:paraId="2BF5B653" w14:textId="77777777" w:rsidR="00285B17" w:rsidRPr="00CC6344" w:rsidRDefault="00285B17" w:rsidP="00CC6344">
            <w:pPr>
              <w:pStyle w:val="ACLTextFirstLine"/>
              <w:spacing w:line="240" w:lineRule="auto"/>
              <w:ind w:firstLine="0"/>
              <w:rPr>
                <w:sz w:val="20"/>
                <w:szCs w:val="20"/>
              </w:rPr>
            </w:pPr>
            <w:r w:rsidRPr="00CC6344">
              <w:rPr>
                <w:sz w:val="20"/>
                <w:szCs w:val="20"/>
              </w:rPr>
              <w:t>53.3% (40/75)</w:t>
            </w:r>
          </w:p>
        </w:tc>
        <w:tc>
          <w:tcPr>
            <w:tcW w:w="900" w:type="dxa"/>
            <w:tcMar>
              <w:top w:w="90" w:type="dxa"/>
              <w:left w:w="195" w:type="dxa"/>
              <w:bottom w:w="90" w:type="dxa"/>
              <w:right w:w="195" w:type="dxa"/>
            </w:tcMar>
            <w:vAlign w:val="center"/>
            <w:hideMark/>
          </w:tcPr>
          <w:p w14:paraId="65749BA1" w14:textId="77777777" w:rsidR="00285B17" w:rsidRPr="00CC6344" w:rsidRDefault="00285B17" w:rsidP="00CC6344">
            <w:pPr>
              <w:pStyle w:val="ACLTextFirstLine"/>
              <w:spacing w:line="240" w:lineRule="auto"/>
              <w:ind w:firstLine="0"/>
              <w:rPr>
                <w:sz w:val="20"/>
                <w:szCs w:val="20"/>
              </w:rPr>
            </w:pPr>
            <w:r w:rsidRPr="00CC6344">
              <w:rPr>
                <w:sz w:val="20"/>
                <w:szCs w:val="20"/>
              </w:rPr>
              <w:t>0.611</w:t>
            </w:r>
          </w:p>
        </w:tc>
      </w:tr>
      <w:tr w:rsidR="00285B17" w:rsidRPr="00CC6344" w14:paraId="6DB2E45A" w14:textId="77777777" w:rsidTr="00285B17">
        <w:trPr>
          <w:trHeight w:val="24"/>
        </w:trPr>
        <w:tc>
          <w:tcPr>
            <w:tcW w:w="1170" w:type="dxa"/>
            <w:tcBorders>
              <w:bottom w:val="single" w:sz="6" w:space="0" w:color="000000" w:themeColor="text1"/>
            </w:tcBorders>
            <w:tcMar>
              <w:top w:w="90" w:type="dxa"/>
              <w:left w:w="195" w:type="dxa"/>
              <w:bottom w:w="90" w:type="dxa"/>
              <w:right w:w="195" w:type="dxa"/>
            </w:tcMar>
            <w:vAlign w:val="center"/>
            <w:hideMark/>
          </w:tcPr>
          <w:p w14:paraId="7C12F2D9" w14:textId="77777777" w:rsidR="00285B17" w:rsidRDefault="00285B17" w:rsidP="00CC6344">
            <w:pPr>
              <w:pStyle w:val="ACLTextFirstLine"/>
              <w:spacing w:line="240" w:lineRule="auto"/>
              <w:ind w:firstLine="0"/>
              <w:rPr>
                <w:sz w:val="20"/>
                <w:szCs w:val="20"/>
              </w:rPr>
            </w:pPr>
            <w:r w:rsidRPr="00CC6344">
              <w:rPr>
                <w:sz w:val="20"/>
                <w:szCs w:val="20"/>
              </w:rPr>
              <w:t>Gemma 2</w:t>
            </w:r>
          </w:p>
          <w:p w14:paraId="5D0A9A5C" w14:textId="4F50DD96" w:rsidR="00285B17" w:rsidRPr="00CC6344" w:rsidRDefault="00285B17" w:rsidP="00CC6344">
            <w:pPr>
              <w:pStyle w:val="ACLTextFirstLine"/>
              <w:spacing w:line="240" w:lineRule="auto"/>
              <w:ind w:firstLine="0"/>
              <w:rPr>
                <w:sz w:val="20"/>
                <w:szCs w:val="20"/>
              </w:rPr>
            </w:pPr>
            <w:r>
              <w:rPr>
                <w:sz w:val="20"/>
                <w:szCs w:val="20"/>
              </w:rPr>
              <w:t>(Rand.)</w:t>
            </w:r>
          </w:p>
        </w:tc>
        <w:tc>
          <w:tcPr>
            <w:tcW w:w="990" w:type="dxa"/>
            <w:tcBorders>
              <w:bottom w:val="single" w:sz="6" w:space="0" w:color="000000" w:themeColor="text1"/>
            </w:tcBorders>
            <w:tcMar>
              <w:top w:w="90" w:type="dxa"/>
              <w:left w:w="195" w:type="dxa"/>
              <w:bottom w:w="90" w:type="dxa"/>
              <w:right w:w="195" w:type="dxa"/>
            </w:tcMar>
            <w:vAlign w:val="center"/>
            <w:hideMark/>
          </w:tcPr>
          <w:p w14:paraId="336A69EE" w14:textId="77777777" w:rsidR="00285B17" w:rsidRPr="00CC6344" w:rsidRDefault="00285B17" w:rsidP="00CC6344">
            <w:pPr>
              <w:pStyle w:val="ACLTextFirstLine"/>
              <w:spacing w:line="240" w:lineRule="auto"/>
              <w:ind w:firstLine="0"/>
              <w:rPr>
                <w:sz w:val="20"/>
                <w:szCs w:val="20"/>
              </w:rPr>
            </w:pPr>
            <w:r w:rsidRPr="00CC6344">
              <w:rPr>
                <w:sz w:val="20"/>
                <w:szCs w:val="20"/>
              </w:rPr>
              <w:t>44.0% (33/75)</w:t>
            </w:r>
          </w:p>
        </w:tc>
        <w:tc>
          <w:tcPr>
            <w:tcW w:w="990" w:type="dxa"/>
            <w:tcBorders>
              <w:bottom w:val="single" w:sz="6" w:space="0" w:color="000000" w:themeColor="text1"/>
            </w:tcBorders>
            <w:tcMar>
              <w:top w:w="90" w:type="dxa"/>
              <w:left w:w="195" w:type="dxa"/>
              <w:bottom w:w="90" w:type="dxa"/>
              <w:right w:w="195" w:type="dxa"/>
            </w:tcMar>
            <w:vAlign w:val="center"/>
            <w:hideMark/>
          </w:tcPr>
          <w:p w14:paraId="146E985F" w14:textId="77777777" w:rsidR="00285B17" w:rsidRPr="00CC6344" w:rsidRDefault="00285B17" w:rsidP="00CC6344">
            <w:pPr>
              <w:pStyle w:val="ACLTextFirstLine"/>
              <w:spacing w:line="240" w:lineRule="auto"/>
              <w:ind w:firstLine="0"/>
              <w:rPr>
                <w:sz w:val="20"/>
                <w:szCs w:val="20"/>
              </w:rPr>
            </w:pPr>
            <w:r w:rsidRPr="00CC6344">
              <w:rPr>
                <w:sz w:val="20"/>
                <w:szCs w:val="20"/>
              </w:rPr>
              <w:t>54.7% (41/75)</w:t>
            </w:r>
          </w:p>
        </w:tc>
        <w:tc>
          <w:tcPr>
            <w:tcW w:w="900" w:type="dxa"/>
            <w:tcBorders>
              <w:bottom w:val="single" w:sz="6" w:space="0" w:color="000000" w:themeColor="text1"/>
            </w:tcBorders>
            <w:tcMar>
              <w:top w:w="90" w:type="dxa"/>
              <w:left w:w="195" w:type="dxa"/>
              <w:bottom w:w="90" w:type="dxa"/>
              <w:right w:w="195" w:type="dxa"/>
            </w:tcMar>
            <w:vAlign w:val="center"/>
            <w:hideMark/>
          </w:tcPr>
          <w:p w14:paraId="0AFED80B" w14:textId="77777777" w:rsidR="00285B17" w:rsidRPr="00CC6344" w:rsidRDefault="00285B17" w:rsidP="00CC6344">
            <w:pPr>
              <w:pStyle w:val="ACLTextFirstLine"/>
              <w:spacing w:line="240" w:lineRule="auto"/>
              <w:ind w:firstLine="0"/>
              <w:rPr>
                <w:sz w:val="20"/>
                <w:szCs w:val="20"/>
              </w:rPr>
            </w:pPr>
            <w:r w:rsidRPr="00CC6344">
              <w:rPr>
                <w:sz w:val="20"/>
                <w:szCs w:val="20"/>
              </w:rPr>
              <w:t>1.128</w:t>
            </w:r>
          </w:p>
        </w:tc>
      </w:tr>
    </w:tbl>
    <w:p w14:paraId="775E5ABC" w14:textId="1F9AFF54" w:rsidR="00E17E88" w:rsidRPr="00471846" w:rsidRDefault="00E17E88" w:rsidP="00E17E88">
      <w:pPr>
        <w:pStyle w:val="Caption"/>
        <w:framePr w:hSpace="0" w:wrap="auto" w:xAlign="left" w:yAlign="inline"/>
        <w:suppressOverlap w:val="0"/>
      </w:pPr>
      <w:r w:rsidRPr="00471846">
        <w:t xml:space="preserve">Table </w:t>
      </w:r>
      <w:fldSimple w:instr=" SEQ Table \* ARABIC ">
        <w:r w:rsidR="000B0AD5">
          <w:rPr>
            <w:noProof/>
          </w:rPr>
          <w:t>8</w:t>
        </w:r>
      </w:fldSimple>
      <w:r w:rsidRPr="00471846">
        <w:t>:</w:t>
      </w:r>
      <w:r w:rsidRPr="007C77D4">
        <w:t xml:space="preserve"> </w:t>
      </w:r>
      <w:r w:rsidRPr="00E17E88">
        <w:t>Curriculum vs. randomized</w:t>
      </w:r>
      <w:r w:rsidR="006416A5">
        <w:t>:</w:t>
      </w:r>
      <w:r w:rsidRPr="00E17E88">
        <w:t xml:space="preserve"> </w:t>
      </w:r>
      <w:r w:rsidR="006416A5">
        <w:t>E</w:t>
      </w:r>
      <w:r w:rsidRPr="00E17E88">
        <w:t>xam accuracy (Q1–75, Protocol v3</w:t>
      </w:r>
      <w:r w:rsidR="00795479">
        <w:t>)</w:t>
      </w:r>
      <w:r>
        <w:t>.</w:t>
      </w:r>
    </w:p>
    <w:p w14:paraId="1E8CDC13" w14:textId="77777777" w:rsidR="008E70D3" w:rsidRPr="008E70D3" w:rsidRDefault="008E70D3" w:rsidP="008E70D3">
      <w:pPr>
        <w:pStyle w:val="ACLTextFirstLine"/>
        <w:rPr>
          <w:sz w:val="22"/>
          <w:szCs w:val="22"/>
        </w:rPr>
      </w:pPr>
      <w:r w:rsidRPr="008E70D3">
        <w:rPr>
          <w:sz w:val="22"/>
          <w:szCs w:val="22"/>
        </w:rPr>
        <w:t>Randomized ordering outperforms curriculum for both models, but the magnitudes differ. Phi gains nearly 4× more from randomization (+14.7 pp vs. +4.0 pp); Gemma 2's gap is within noise (+10.7 pp vs. +9.3 pp, one question). Per-question, Phi has 9 randomized-only correct vs. 2 in reverse; Gemma 2 is near-symmetric (9 vs. 8). Without McNemar or bootstrap tests on the small set the Phi gap is suggestive while the Gemma 2 gap is effectively null.</w:t>
      </w:r>
    </w:p>
    <w:p w14:paraId="1CE38DE3" w14:textId="1B07E724" w:rsidR="008E70D3" w:rsidRDefault="008E70D3" w:rsidP="008E70D3">
      <w:pPr>
        <w:pStyle w:val="ACLTextFirstLine"/>
        <w:rPr>
          <w:sz w:val="22"/>
          <w:szCs w:val="22"/>
        </w:rPr>
      </w:pPr>
      <w:r w:rsidRPr="008E70D3">
        <w:rPr>
          <w:sz w:val="22"/>
          <w:szCs w:val="22"/>
        </w:rPr>
        <w:t xml:space="preserve">Base model scores are nearly identical across conditions (Phi 38 vs. 39; Gemma 2 33 vs. 33), confirming differences lie in fine-tuning. Phi </w:t>
      </w:r>
      <w:r w:rsidRPr="008E70D3">
        <w:rPr>
          <w:sz w:val="22"/>
          <w:szCs w:val="22"/>
        </w:rPr>
        <w:lastRenderedPageBreak/>
        <w:t>converges to similar losses across conditions (0.879 vs. 0.859), while Gemma 2's curriculum loss (0.611) is nearly half its randomized loss (1.128) for only +1.4 pp accuracy difference — analyzed in §5.3.</w:t>
      </w:r>
    </w:p>
    <w:p w14:paraId="7B40A42C" w14:textId="77777777" w:rsidR="00362299" w:rsidRPr="008E70D3" w:rsidRDefault="00362299" w:rsidP="008E70D3">
      <w:pPr>
        <w:pStyle w:val="ACLTextFirstLine"/>
        <w:rPr>
          <w:sz w:val="22"/>
          <w:szCs w:val="22"/>
        </w:rPr>
      </w:pPr>
    </w:p>
    <w:tbl>
      <w:tblPr>
        <w:tblW w:w="4492" w:type="dxa"/>
        <w:tblLayout w:type="fixed"/>
        <w:tblCellMar>
          <w:left w:w="0" w:type="dxa"/>
          <w:right w:w="0" w:type="dxa"/>
        </w:tblCellMar>
        <w:tblLook w:val="04A0" w:firstRow="1" w:lastRow="0" w:firstColumn="1" w:lastColumn="0" w:noHBand="0" w:noVBand="1"/>
      </w:tblPr>
      <w:tblGrid>
        <w:gridCol w:w="1080"/>
        <w:gridCol w:w="1252"/>
        <w:gridCol w:w="990"/>
        <w:gridCol w:w="1170"/>
      </w:tblGrid>
      <w:tr w:rsidR="005415F7" w:rsidRPr="005415F7" w14:paraId="2BA7E5ED" w14:textId="77777777" w:rsidTr="00761FC0">
        <w:trPr>
          <w:trHeight w:val="317"/>
          <w:tblHeader/>
        </w:trPr>
        <w:tc>
          <w:tcPr>
            <w:tcW w:w="1080" w:type="dxa"/>
            <w:tcBorders>
              <w:top w:val="single" w:sz="6" w:space="0" w:color="000000" w:themeColor="text1"/>
              <w:bottom w:val="single" w:sz="6" w:space="0" w:color="000000" w:themeColor="text1"/>
            </w:tcBorders>
            <w:tcMar>
              <w:top w:w="90" w:type="dxa"/>
              <w:left w:w="195" w:type="dxa"/>
              <w:bottom w:w="90" w:type="dxa"/>
              <w:right w:w="195" w:type="dxa"/>
            </w:tcMar>
            <w:vAlign w:val="center"/>
            <w:hideMark/>
          </w:tcPr>
          <w:p w14:paraId="7FF9C4A3" w14:textId="77777777" w:rsidR="005415F7" w:rsidRPr="005415F7" w:rsidRDefault="005415F7" w:rsidP="0042139F">
            <w:pPr>
              <w:pStyle w:val="ACLTextFirstLine"/>
              <w:ind w:firstLine="0"/>
              <w:rPr>
                <w:b/>
                <w:bCs/>
                <w:sz w:val="20"/>
                <w:szCs w:val="20"/>
              </w:rPr>
            </w:pPr>
            <w:r w:rsidRPr="005415F7">
              <w:rPr>
                <w:b/>
                <w:bCs/>
                <w:sz w:val="20"/>
                <w:szCs w:val="20"/>
              </w:rPr>
              <w:t>Model</w:t>
            </w:r>
          </w:p>
        </w:tc>
        <w:tc>
          <w:tcPr>
            <w:tcW w:w="1252" w:type="dxa"/>
            <w:tcBorders>
              <w:top w:val="single" w:sz="6" w:space="0" w:color="000000" w:themeColor="text1"/>
              <w:bottom w:val="single" w:sz="6" w:space="0" w:color="000000" w:themeColor="text1"/>
            </w:tcBorders>
            <w:tcMar>
              <w:top w:w="90" w:type="dxa"/>
              <w:left w:w="195" w:type="dxa"/>
              <w:bottom w:w="90" w:type="dxa"/>
              <w:right w:w="195" w:type="dxa"/>
            </w:tcMar>
            <w:vAlign w:val="center"/>
            <w:hideMark/>
          </w:tcPr>
          <w:p w14:paraId="2BF99F52" w14:textId="77777777" w:rsidR="005415F7" w:rsidRPr="005415F7" w:rsidRDefault="005415F7" w:rsidP="0042139F">
            <w:pPr>
              <w:pStyle w:val="ACLTextFirstLine"/>
              <w:ind w:firstLine="0"/>
              <w:rPr>
                <w:b/>
                <w:bCs/>
                <w:sz w:val="20"/>
                <w:szCs w:val="20"/>
              </w:rPr>
            </w:pPr>
            <w:r w:rsidRPr="005415F7">
              <w:rPr>
                <w:b/>
                <w:bCs/>
                <w:sz w:val="20"/>
                <w:szCs w:val="20"/>
              </w:rPr>
              <w:t>Condition</w:t>
            </w:r>
          </w:p>
        </w:tc>
        <w:tc>
          <w:tcPr>
            <w:tcW w:w="990" w:type="dxa"/>
            <w:tcBorders>
              <w:top w:val="single" w:sz="6" w:space="0" w:color="000000" w:themeColor="text1"/>
              <w:bottom w:val="single" w:sz="6" w:space="0" w:color="000000" w:themeColor="text1"/>
            </w:tcBorders>
            <w:tcMar>
              <w:top w:w="90" w:type="dxa"/>
              <w:left w:w="195" w:type="dxa"/>
              <w:bottom w:w="90" w:type="dxa"/>
              <w:right w:w="195" w:type="dxa"/>
            </w:tcMar>
            <w:vAlign w:val="center"/>
            <w:hideMark/>
          </w:tcPr>
          <w:p w14:paraId="2261DB3E" w14:textId="77777777" w:rsidR="005415F7" w:rsidRPr="005415F7" w:rsidRDefault="005415F7" w:rsidP="0042139F">
            <w:pPr>
              <w:pStyle w:val="ACLTextFirstLine"/>
              <w:ind w:firstLine="0"/>
              <w:rPr>
                <w:b/>
                <w:bCs/>
                <w:sz w:val="20"/>
                <w:szCs w:val="20"/>
              </w:rPr>
            </w:pPr>
            <w:r w:rsidRPr="005415F7">
              <w:rPr>
                <w:b/>
                <w:bCs/>
                <w:sz w:val="20"/>
                <w:szCs w:val="20"/>
              </w:rPr>
              <w:t>Avg Words</w:t>
            </w:r>
          </w:p>
        </w:tc>
        <w:tc>
          <w:tcPr>
            <w:tcW w:w="1170" w:type="dxa"/>
            <w:tcBorders>
              <w:top w:val="single" w:sz="6" w:space="0" w:color="000000" w:themeColor="text1"/>
              <w:bottom w:val="single" w:sz="6" w:space="0" w:color="000000" w:themeColor="text1"/>
            </w:tcBorders>
            <w:tcMar>
              <w:top w:w="90" w:type="dxa"/>
              <w:left w:w="195" w:type="dxa"/>
              <w:bottom w:w="90" w:type="dxa"/>
              <w:right w:w="195" w:type="dxa"/>
            </w:tcMar>
            <w:vAlign w:val="center"/>
            <w:hideMark/>
          </w:tcPr>
          <w:p w14:paraId="1F2493D2" w14:textId="32B287BF" w:rsidR="005415F7" w:rsidRPr="005415F7" w:rsidRDefault="005415F7" w:rsidP="00BD4A3C">
            <w:pPr>
              <w:pStyle w:val="ACLTextFirstLine"/>
              <w:ind w:firstLine="0"/>
              <w:rPr>
                <w:b/>
                <w:bCs/>
                <w:sz w:val="20"/>
                <w:szCs w:val="20"/>
              </w:rPr>
            </w:pPr>
            <w:r w:rsidRPr="005415F7">
              <w:rPr>
                <w:b/>
                <w:bCs/>
                <w:sz w:val="20"/>
                <w:szCs w:val="20"/>
              </w:rPr>
              <w:t>Keyword Cov</w:t>
            </w:r>
            <w:r w:rsidR="000350CD">
              <w:rPr>
                <w:b/>
                <w:bCs/>
                <w:sz w:val="20"/>
                <w:szCs w:val="20"/>
              </w:rPr>
              <w:t>er.</w:t>
            </w:r>
          </w:p>
        </w:tc>
      </w:tr>
      <w:tr w:rsidR="005415F7" w:rsidRPr="005415F7" w14:paraId="09052108" w14:textId="77777777" w:rsidTr="00761FC0">
        <w:trPr>
          <w:trHeight w:val="163"/>
        </w:trPr>
        <w:tc>
          <w:tcPr>
            <w:tcW w:w="1080" w:type="dxa"/>
            <w:tcBorders>
              <w:top w:val="single" w:sz="6" w:space="0" w:color="000000" w:themeColor="text1"/>
            </w:tcBorders>
            <w:tcMar>
              <w:top w:w="90" w:type="dxa"/>
              <w:left w:w="195" w:type="dxa"/>
              <w:bottom w:w="90" w:type="dxa"/>
              <w:right w:w="195" w:type="dxa"/>
            </w:tcMar>
            <w:vAlign w:val="center"/>
            <w:hideMark/>
          </w:tcPr>
          <w:p w14:paraId="632C7F0D" w14:textId="77777777" w:rsidR="005415F7" w:rsidRPr="005415F7" w:rsidRDefault="005415F7" w:rsidP="00443F5E">
            <w:pPr>
              <w:pStyle w:val="ACLTextFirstLine"/>
              <w:ind w:firstLine="0"/>
              <w:rPr>
                <w:sz w:val="20"/>
                <w:szCs w:val="20"/>
              </w:rPr>
            </w:pPr>
            <w:r w:rsidRPr="005415F7">
              <w:rPr>
                <w:sz w:val="20"/>
                <w:szCs w:val="20"/>
              </w:rPr>
              <w:t>Phi-3.5</w:t>
            </w:r>
          </w:p>
        </w:tc>
        <w:tc>
          <w:tcPr>
            <w:tcW w:w="1252" w:type="dxa"/>
            <w:tcBorders>
              <w:top w:val="single" w:sz="6" w:space="0" w:color="000000" w:themeColor="text1"/>
            </w:tcBorders>
            <w:tcMar>
              <w:top w:w="90" w:type="dxa"/>
              <w:left w:w="195" w:type="dxa"/>
              <w:bottom w:w="90" w:type="dxa"/>
              <w:right w:w="195" w:type="dxa"/>
            </w:tcMar>
            <w:vAlign w:val="center"/>
            <w:hideMark/>
          </w:tcPr>
          <w:p w14:paraId="3D12FA47" w14:textId="5F99BF79" w:rsidR="005415F7" w:rsidRPr="005415F7" w:rsidRDefault="005415F7" w:rsidP="0042139F">
            <w:pPr>
              <w:pStyle w:val="ACLTextFirstLine"/>
              <w:ind w:firstLine="0"/>
              <w:rPr>
                <w:sz w:val="20"/>
                <w:szCs w:val="20"/>
              </w:rPr>
            </w:pPr>
            <w:r w:rsidRPr="005415F7">
              <w:rPr>
                <w:sz w:val="20"/>
                <w:szCs w:val="20"/>
              </w:rPr>
              <w:t>Curr. FT</w:t>
            </w:r>
          </w:p>
        </w:tc>
        <w:tc>
          <w:tcPr>
            <w:tcW w:w="990" w:type="dxa"/>
            <w:tcBorders>
              <w:top w:val="single" w:sz="6" w:space="0" w:color="000000" w:themeColor="text1"/>
            </w:tcBorders>
            <w:tcMar>
              <w:top w:w="90" w:type="dxa"/>
              <w:left w:w="195" w:type="dxa"/>
              <w:bottom w:w="90" w:type="dxa"/>
              <w:right w:w="195" w:type="dxa"/>
            </w:tcMar>
            <w:vAlign w:val="center"/>
            <w:hideMark/>
          </w:tcPr>
          <w:p w14:paraId="1C18467E" w14:textId="77777777" w:rsidR="005415F7" w:rsidRPr="005415F7" w:rsidRDefault="005415F7" w:rsidP="0042139F">
            <w:pPr>
              <w:pStyle w:val="ACLTextFirstLine"/>
              <w:ind w:firstLine="0"/>
              <w:rPr>
                <w:sz w:val="20"/>
                <w:szCs w:val="20"/>
              </w:rPr>
            </w:pPr>
            <w:r w:rsidRPr="005415F7">
              <w:rPr>
                <w:sz w:val="20"/>
                <w:szCs w:val="20"/>
              </w:rPr>
              <w:t>312</w:t>
            </w:r>
          </w:p>
        </w:tc>
        <w:tc>
          <w:tcPr>
            <w:tcW w:w="1170" w:type="dxa"/>
            <w:tcBorders>
              <w:top w:val="single" w:sz="6" w:space="0" w:color="000000" w:themeColor="text1"/>
            </w:tcBorders>
            <w:tcMar>
              <w:top w:w="90" w:type="dxa"/>
              <w:left w:w="195" w:type="dxa"/>
              <w:bottom w:w="90" w:type="dxa"/>
              <w:right w:w="195" w:type="dxa"/>
            </w:tcMar>
            <w:vAlign w:val="center"/>
            <w:hideMark/>
          </w:tcPr>
          <w:p w14:paraId="6A551B4D" w14:textId="77777777" w:rsidR="005415F7" w:rsidRPr="005415F7" w:rsidRDefault="005415F7" w:rsidP="0042139F">
            <w:pPr>
              <w:pStyle w:val="ACLTextFirstLine"/>
              <w:ind w:firstLine="0"/>
              <w:rPr>
                <w:sz w:val="20"/>
                <w:szCs w:val="20"/>
              </w:rPr>
            </w:pPr>
            <w:r w:rsidRPr="005415F7">
              <w:rPr>
                <w:sz w:val="20"/>
                <w:szCs w:val="20"/>
              </w:rPr>
              <w:t>55.8%</w:t>
            </w:r>
          </w:p>
        </w:tc>
      </w:tr>
      <w:tr w:rsidR="005415F7" w:rsidRPr="005415F7" w14:paraId="64453E89" w14:textId="77777777" w:rsidTr="00761FC0">
        <w:trPr>
          <w:trHeight w:val="317"/>
        </w:trPr>
        <w:tc>
          <w:tcPr>
            <w:tcW w:w="1080" w:type="dxa"/>
            <w:tcMar>
              <w:top w:w="90" w:type="dxa"/>
              <w:left w:w="195" w:type="dxa"/>
              <w:bottom w:w="90" w:type="dxa"/>
              <w:right w:w="195" w:type="dxa"/>
            </w:tcMar>
            <w:vAlign w:val="center"/>
            <w:hideMark/>
          </w:tcPr>
          <w:p w14:paraId="24D0DCF1" w14:textId="77777777" w:rsidR="005415F7" w:rsidRPr="005415F7" w:rsidRDefault="005415F7" w:rsidP="0042139F">
            <w:pPr>
              <w:pStyle w:val="ACLTextFirstLine"/>
              <w:ind w:firstLine="0"/>
              <w:jc w:val="left"/>
              <w:rPr>
                <w:sz w:val="20"/>
                <w:szCs w:val="20"/>
              </w:rPr>
            </w:pPr>
            <w:r w:rsidRPr="005415F7">
              <w:rPr>
                <w:sz w:val="20"/>
                <w:szCs w:val="20"/>
              </w:rPr>
              <w:t>Phi-3.5</w:t>
            </w:r>
          </w:p>
        </w:tc>
        <w:tc>
          <w:tcPr>
            <w:tcW w:w="1252" w:type="dxa"/>
            <w:tcMar>
              <w:top w:w="90" w:type="dxa"/>
              <w:left w:w="195" w:type="dxa"/>
              <w:bottom w:w="90" w:type="dxa"/>
              <w:right w:w="195" w:type="dxa"/>
            </w:tcMar>
            <w:vAlign w:val="center"/>
            <w:hideMark/>
          </w:tcPr>
          <w:p w14:paraId="7BB8C364" w14:textId="2195D7BB" w:rsidR="005415F7" w:rsidRPr="005415F7" w:rsidRDefault="005415F7" w:rsidP="0042139F">
            <w:pPr>
              <w:pStyle w:val="ACLTextFirstLine"/>
              <w:ind w:firstLine="0"/>
              <w:jc w:val="left"/>
              <w:rPr>
                <w:sz w:val="20"/>
                <w:szCs w:val="20"/>
              </w:rPr>
            </w:pPr>
            <w:r w:rsidRPr="005415F7">
              <w:rPr>
                <w:sz w:val="20"/>
                <w:szCs w:val="20"/>
              </w:rPr>
              <w:t>Random FT</w:t>
            </w:r>
          </w:p>
        </w:tc>
        <w:tc>
          <w:tcPr>
            <w:tcW w:w="990" w:type="dxa"/>
            <w:tcMar>
              <w:top w:w="90" w:type="dxa"/>
              <w:left w:w="195" w:type="dxa"/>
              <w:bottom w:w="90" w:type="dxa"/>
              <w:right w:w="195" w:type="dxa"/>
            </w:tcMar>
            <w:vAlign w:val="center"/>
            <w:hideMark/>
          </w:tcPr>
          <w:p w14:paraId="7A2CDC38" w14:textId="77777777" w:rsidR="005415F7" w:rsidRPr="005415F7" w:rsidRDefault="005415F7" w:rsidP="0042139F">
            <w:pPr>
              <w:pStyle w:val="ACLTextFirstLine"/>
              <w:ind w:firstLine="0"/>
              <w:jc w:val="left"/>
              <w:rPr>
                <w:sz w:val="20"/>
                <w:szCs w:val="20"/>
              </w:rPr>
            </w:pPr>
            <w:r w:rsidRPr="005415F7">
              <w:rPr>
                <w:sz w:val="20"/>
                <w:szCs w:val="20"/>
              </w:rPr>
              <w:t>421</w:t>
            </w:r>
          </w:p>
        </w:tc>
        <w:tc>
          <w:tcPr>
            <w:tcW w:w="1170" w:type="dxa"/>
            <w:tcMar>
              <w:top w:w="90" w:type="dxa"/>
              <w:left w:w="195" w:type="dxa"/>
              <w:bottom w:w="90" w:type="dxa"/>
              <w:right w:w="195" w:type="dxa"/>
            </w:tcMar>
            <w:vAlign w:val="center"/>
            <w:hideMark/>
          </w:tcPr>
          <w:p w14:paraId="26094B27" w14:textId="77777777" w:rsidR="005415F7" w:rsidRPr="005415F7" w:rsidRDefault="005415F7" w:rsidP="0042139F">
            <w:pPr>
              <w:pStyle w:val="ACLTextFirstLine"/>
              <w:ind w:firstLine="0"/>
              <w:jc w:val="left"/>
              <w:rPr>
                <w:sz w:val="20"/>
                <w:szCs w:val="20"/>
              </w:rPr>
            </w:pPr>
            <w:r w:rsidRPr="005415F7">
              <w:rPr>
                <w:sz w:val="20"/>
                <w:szCs w:val="20"/>
              </w:rPr>
              <w:t>59.3%</w:t>
            </w:r>
          </w:p>
        </w:tc>
      </w:tr>
      <w:tr w:rsidR="005415F7" w:rsidRPr="005415F7" w14:paraId="1B7797F4" w14:textId="77777777" w:rsidTr="00761FC0">
        <w:trPr>
          <w:trHeight w:val="163"/>
        </w:trPr>
        <w:tc>
          <w:tcPr>
            <w:tcW w:w="1080" w:type="dxa"/>
            <w:tcMar>
              <w:top w:w="90" w:type="dxa"/>
              <w:left w:w="195" w:type="dxa"/>
              <w:bottom w:w="90" w:type="dxa"/>
              <w:right w:w="195" w:type="dxa"/>
            </w:tcMar>
            <w:vAlign w:val="center"/>
            <w:hideMark/>
          </w:tcPr>
          <w:p w14:paraId="4F7D09A0" w14:textId="77777777" w:rsidR="005415F7" w:rsidRPr="005415F7" w:rsidRDefault="005415F7" w:rsidP="0042139F">
            <w:pPr>
              <w:pStyle w:val="ACLTextFirstLine"/>
              <w:ind w:firstLine="0"/>
              <w:jc w:val="left"/>
              <w:rPr>
                <w:sz w:val="20"/>
                <w:szCs w:val="20"/>
              </w:rPr>
            </w:pPr>
            <w:r w:rsidRPr="005415F7">
              <w:rPr>
                <w:sz w:val="20"/>
                <w:szCs w:val="20"/>
              </w:rPr>
              <w:t>Phi-3.5</w:t>
            </w:r>
          </w:p>
        </w:tc>
        <w:tc>
          <w:tcPr>
            <w:tcW w:w="1252" w:type="dxa"/>
            <w:tcMar>
              <w:top w:w="90" w:type="dxa"/>
              <w:left w:w="195" w:type="dxa"/>
              <w:bottom w:w="90" w:type="dxa"/>
              <w:right w:w="195" w:type="dxa"/>
            </w:tcMar>
            <w:vAlign w:val="center"/>
            <w:hideMark/>
          </w:tcPr>
          <w:p w14:paraId="0AE722A2" w14:textId="77777777" w:rsidR="005415F7" w:rsidRPr="005415F7" w:rsidRDefault="005415F7" w:rsidP="0042139F">
            <w:pPr>
              <w:pStyle w:val="ACLTextFirstLine"/>
              <w:ind w:firstLine="0"/>
              <w:jc w:val="left"/>
              <w:rPr>
                <w:sz w:val="20"/>
                <w:szCs w:val="20"/>
              </w:rPr>
            </w:pPr>
            <w:r w:rsidRPr="005415F7">
              <w:rPr>
                <w:sz w:val="20"/>
                <w:szCs w:val="20"/>
              </w:rPr>
              <w:t>Base</w:t>
            </w:r>
          </w:p>
        </w:tc>
        <w:tc>
          <w:tcPr>
            <w:tcW w:w="990" w:type="dxa"/>
            <w:tcMar>
              <w:top w:w="90" w:type="dxa"/>
              <w:left w:w="195" w:type="dxa"/>
              <w:bottom w:w="90" w:type="dxa"/>
              <w:right w:w="195" w:type="dxa"/>
            </w:tcMar>
            <w:vAlign w:val="center"/>
            <w:hideMark/>
          </w:tcPr>
          <w:p w14:paraId="60285CB8" w14:textId="77777777" w:rsidR="005415F7" w:rsidRPr="005415F7" w:rsidRDefault="005415F7" w:rsidP="0042139F">
            <w:pPr>
              <w:pStyle w:val="ACLTextFirstLine"/>
              <w:ind w:firstLine="0"/>
              <w:jc w:val="left"/>
              <w:rPr>
                <w:sz w:val="20"/>
                <w:szCs w:val="20"/>
              </w:rPr>
            </w:pPr>
            <w:r w:rsidRPr="005415F7">
              <w:rPr>
                <w:sz w:val="20"/>
                <w:szCs w:val="20"/>
              </w:rPr>
              <w:t>518</w:t>
            </w:r>
          </w:p>
        </w:tc>
        <w:tc>
          <w:tcPr>
            <w:tcW w:w="1170" w:type="dxa"/>
            <w:tcMar>
              <w:top w:w="90" w:type="dxa"/>
              <w:left w:w="195" w:type="dxa"/>
              <w:bottom w:w="90" w:type="dxa"/>
              <w:right w:w="195" w:type="dxa"/>
            </w:tcMar>
            <w:vAlign w:val="center"/>
            <w:hideMark/>
          </w:tcPr>
          <w:p w14:paraId="0779DDB5" w14:textId="77777777" w:rsidR="005415F7" w:rsidRPr="005415F7" w:rsidRDefault="005415F7" w:rsidP="0042139F">
            <w:pPr>
              <w:pStyle w:val="ACLTextFirstLine"/>
              <w:ind w:firstLine="0"/>
              <w:jc w:val="left"/>
              <w:rPr>
                <w:sz w:val="20"/>
                <w:szCs w:val="20"/>
              </w:rPr>
            </w:pPr>
            <w:r w:rsidRPr="005415F7">
              <w:rPr>
                <w:sz w:val="20"/>
                <w:szCs w:val="20"/>
              </w:rPr>
              <w:t>58.0%</w:t>
            </w:r>
          </w:p>
        </w:tc>
      </w:tr>
      <w:tr w:rsidR="005415F7" w:rsidRPr="005415F7" w14:paraId="56A6D6F0" w14:textId="77777777" w:rsidTr="00761FC0">
        <w:trPr>
          <w:trHeight w:val="317"/>
        </w:trPr>
        <w:tc>
          <w:tcPr>
            <w:tcW w:w="1080" w:type="dxa"/>
            <w:tcMar>
              <w:top w:w="90" w:type="dxa"/>
              <w:left w:w="195" w:type="dxa"/>
              <w:bottom w:w="90" w:type="dxa"/>
              <w:right w:w="195" w:type="dxa"/>
            </w:tcMar>
            <w:vAlign w:val="center"/>
            <w:hideMark/>
          </w:tcPr>
          <w:p w14:paraId="560D2C9A" w14:textId="77777777" w:rsidR="005415F7" w:rsidRPr="005415F7" w:rsidRDefault="005415F7" w:rsidP="0042139F">
            <w:pPr>
              <w:pStyle w:val="ACLTextFirstLine"/>
              <w:ind w:firstLine="0"/>
              <w:jc w:val="left"/>
              <w:rPr>
                <w:sz w:val="20"/>
                <w:szCs w:val="20"/>
              </w:rPr>
            </w:pPr>
            <w:r w:rsidRPr="005415F7">
              <w:rPr>
                <w:sz w:val="20"/>
                <w:szCs w:val="20"/>
              </w:rPr>
              <w:t>Gemma 2</w:t>
            </w:r>
          </w:p>
        </w:tc>
        <w:tc>
          <w:tcPr>
            <w:tcW w:w="1252" w:type="dxa"/>
            <w:tcMar>
              <w:top w:w="90" w:type="dxa"/>
              <w:left w:w="195" w:type="dxa"/>
              <w:bottom w:w="90" w:type="dxa"/>
              <w:right w:w="195" w:type="dxa"/>
            </w:tcMar>
            <w:vAlign w:val="center"/>
            <w:hideMark/>
          </w:tcPr>
          <w:p w14:paraId="5274FC4A" w14:textId="564FC8CB" w:rsidR="005415F7" w:rsidRPr="005415F7" w:rsidRDefault="005415F7" w:rsidP="0042139F">
            <w:pPr>
              <w:pStyle w:val="ACLTextFirstLine"/>
              <w:ind w:firstLine="0"/>
              <w:jc w:val="left"/>
              <w:rPr>
                <w:sz w:val="20"/>
                <w:szCs w:val="20"/>
              </w:rPr>
            </w:pPr>
            <w:r w:rsidRPr="005415F7">
              <w:rPr>
                <w:sz w:val="20"/>
                <w:szCs w:val="20"/>
              </w:rPr>
              <w:t>Curr. FT</w:t>
            </w:r>
          </w:p>
        </w:tc>
        <w:tc>
          <w:tcPr>
            <w:tcW w:w="990" w:type="dxa"/>
            <w:tcMar>
              <w:top w:w="90" w:type="dxa"/>
              <w:left w:w="195" w:type="dxa"/>
              <w:bottom w:w="90" w:type="dxa"/>
              <w:right w:w="195" w:type="dxa"/>
            </w:tcMar>
            <w:vAlign w:val="center"/>
            <w:hideMark/>
          </w:tcPr>
          <w:p w14:paraId="6CFF95BF" w14:textId="77777777" w:rsidR="005415F7" w:rsidRPr="005415F7" w:rsidRDefault="005415F7" w:rsidP="0042139F">
            <w:pPr>
              <w:pStyle w:val="ACLTextFirstLine"/>
              <w:ind w:firstLine="0"/>
              <w:jc w:val="left"/>
              <w:rPr>
                <w:sz w:val="20"/>
                <w:szCs w:val="20"/>
              </w:rPr>
            </w:pPr>
            <w:r w:rsidRPr="005415F7">
              <w:rPr>
                <w:sz w:val="20"/>
                <w:szCs w:val="20"/>
              </w:rPr>
              <w:t>398</w:t>
            </w:r>
          </w:p>
        </w:tc>
        <w:tc>
          <w:tcPr>
            <w:tcW w:w="1170" w:type="dxa"/>
            <w:tcMar>
              <w:top w:w="90" w:type="dxa"/>
              <w:left w:w="195" w:type="dxa"/>
              <w:bottom w:w="90" w:type="dxa"/>
              <w:right w:w="195" w:type="dxa"/>
            </w:tcMar>
            <w:vAlign w:val="center"/>
            <w:hideMark/>
          </w:tcPr>
          <w:p w14:paraId="2420ABB0" w14:textId="77777777" w:rsidR="005415F7" w:rsidRPr="005415F7" w:rsidRDefault="005415F7" w:rsidP="0042139F">
            <w:pPr>
              <w:pStyle w:val="ACLTextFirstLine"/>
              <w:ind w:firstLine="0"/>
              <w:jc w:val="left"/>
              <w:rPr>
                <w:sz w:val="20"/>
                <w:szCs w:val="20"/>
              </w:rPr>
            </w:pPr>
            <w:r w:rsidRPr="005415F7">
              <w:rPr>
                <w:sz w:val="20"/>
                <w:szCs w:val="20"/>
              </w:rPr>
              <w:t>54.1%</w:t>
            </w:r>
          </w:p>
        </w:tc>
      </w:tr>
      <w:tr w:rsidR="005415F7" w:rsidRPr="005415F7" w14:paraId="7963D9CB" w14:textId="77777777" w:rsidTr="00761FC0">
        <w:trPr>
          <w:trHeight w:val="328"/>
        </w:trPr>
        <w:tc>
          <w:tcPr>
            <w:tcW w:w="1080" w:type="dxa"/>
            <w:tcMar>
              <w:top w:w="90" w:type="dxa"/>
              <w:left w:w="195" w:type="dxa"/>
              <w:bottom w:w="90" w:type="dxa"/>
              <w:right w:w="195" w:type="dxa"/>
            </w:tcMar>
            <w:vAlign w:val="center"/>
            <w:hideMark/>
          </w:tcPr>
          <w:p w14:paraId="59908DFA" w14:textId="77777777" w:rsidR="005415F7" w:rsidRPr="005415F7" w:rsidRDefault="005415F7" w:rsidP="0042139F">
            <w:pPr>
              <w:pStyle w:val="ACLTextFirstLine"/>
              <w:ind w:firstLine="0"/>
              <w:jc w:val="left"/>
              <w:rPr>
                <w:sz w:val="20"/>
                <w:szCs w:val="20"/>
              </w:rPr>
            </w:pPr>
            <w:r w:rsidRPr="005415F7">
              <w:rPr>
                <w:sz w:val="20"/>
                <w:szCs w:val="20"/>
              </w:rPr>
              <w:t>Gemma 2</w:t>
            </w:r>
          </w:p>
        </w:tc>
        <w:tc>
          <w:tcPr>
            <w:tcW w:w="1252" w:type="dxa"/>
            <w:tcMar>
              <w:top w:w="90" w:type="dxa"/>
              <w:left w:w="195" w:type="dxa"/>
              <w:bottom w:w="90" w:type="dxa"/>
              <w:right w:w="195" w:type="dxa"/>
            </w:tcMar>
            <w:vAlign w:val="center"/>
            <w:hideMark/>
          </w:tcPr>
          <w:p w14:paraId="19A39307" w14:textId="155EBCA0" w:rsidR="005415F7" w:rsidRPr="005415F7" w:rsidRDefault="005415F7" w:rsidP="0042139F">
            <w:pPr>
              <w:pStyle w:val="ACLTextFirstLine"/>
              <w:ind w:firstLine="0"/>
              <w:jc w:val="left"/>
              <w:rPr>
                <w:sz w:val="20"/>
                <w:szCs w:val="20"/>
              </w:rPr>
            </w:pPr>
            <w:r w:rsidRPr="005415F7">
              <w:rPr>
                <w:sz w:val="20"/>
                <w:szCs w:val="20"/>
              </w:rPr>
              <w:t>Random FT</w:t>
            </w:r>
          </w:p>
        </w:tc>
        <w:tc>
          <w:tcPr>
            <w:tcW w:w="990" w:type="dxa"/>
            <w:tcMar>
              <w:top w:w="90" w:type="dxa"/>
              <w:left w:w="195" w:type="dxa"/>
              <w:bottom w:w="90" w:type="dxa"/>
              <w:right w:w="195" w:type="dxa"/>
            </w:tcMar>
            <w:vAlign w:val="center"/>
            <w:hideMark/>
          </w:tcPr>
          <w:p w14:paraId="334C39E7" w14:textId="77777777" w:rsidR="005415F7" w:rsidRPr="005415F7" w:rsidRDefault="005415F7" w:rsidP="0042139F">
            <w:pPr>
              <w:pStyle w:val="ACLTextFirstLine"/>
              <w:ind w:firstLine="0"/>
              <w:jc w:val="left"/>
              <w:rPr>
                <w:sz w:val="20"/>
                <w:szCs w:val="20"/>
              </w:rPr>
            </w:pPr>
            <w:r w:rsidRPr="005415F7">
              <w:rPr>
                <w:sz w:val="20"/>
                <w:szCs w:val="20"/>
              </w:rPr>
              <w:t>446</w:t>
            </w:r>
          </w:p>
        </w:tc>
        <w:tc>
          <w:tcPr>
            <w:tcW w:w="1170" w:type="dxa"/>
            <w:tcMar>
              <w:top w:w="90" w:type="dxa"/>
              <w:left w:w="195" w:type="dxa"/>
              <w:bottom w:w="90" w:type="dxa"/>
              <w:right w:w="195" w:type="dxa"/>
            </w:tcMar>
            <w:vAlign w:val="center"/>
            <w:hideMark/>
          </w:tcPr>
          <w:p w14:paraId="0E561BE7" w14:textId="77777777" w:rsidR="005415F7" w:rsidRPr="005415F7" w:rsidRDefault="005415F7" w:rsidP="0042139F">
            <w:pPr>
              <w:pStyle w:val="ACLTextFirstLine"/>
              <w:ind w:firstLine="0"/>
              <w:jc w:val="left"/>
              <w:rPr>
                <w:sz w:val="20"/>
                <w:szCs w:val="20"/>
              </w:rPr>
            </w:pPr>
            <w:r w:rsidRPr="005415F7">
              <w:rPr>
                <w:sz w:val="20"/>
                <w:szCs w:val="20"/>
              </w:rPr>
              <w:t>55.5%</w:t>
            </w:r>
          </w:p>
        </w:tc>
      </w:tr>
      <w:tr w:rsidR="005415F7" w:rsidRPr="005415F7" w14:paraId="52705929" w14:textId="77777777" w:rsidTr="00761FC0">
        <w:trPr>
          <w:trHeight w:val="317"/>
        </w:trPr>
        <w:tc>
          <w:tcPr>
            <w:tcW w:w="1080" w:type="dxa"/>
            <w:tcMar>
              <w:top w:w="90" w:type="dxa"/>
              <w:left w:w="195" w:type="dxa"/>
              <w:bottom w:w="90" w:type="dxa"/>
              <w:right w:w="195" w:type="dxa"/>
            </w:tcMar>
            <w:vAlign w:val="center"/>
            <w:hideMark/>
          </w:tcPr>
          <w:p w14:paraId="06A72DC5" w14:textId="77777777" w:rsidR="005415F7" w:rsidRPr="005415F7" w:rsidRDefault="005415F7" w:rsidP="0042139F">
            <w:pPr>
              <w:pStyle w:val="ACLTextFirstLine"/>
              <w:ind w:firstLine="0"/>
              <w:jc w:val="left"/>
              <w:rPr>
                <w:sz w:val="20"/>
                <w:szCs w:val="20"/>
              </w:rPr>
            </w:pPr>
            <w:r w:rsidRPr="005415F7">
              <w:rPr>
                <w:sz w:val="20"/>
                <w:szCs w:val="20"/>
              </w:rPr>
              <w:t>Gemma 2</w:t>
            </w:r>
          </w:p>
        </w:tc>
        <w:tc>
          <w:tcPr>
            <w:tcW w:w="1252" w:type="dxa"/>
            <w:tcMar>
              <w:top w:w="90" w:type="dxa"/>
              <w:left w:w="195" w:type="dxa"/>
              <w:bottom w:w="90" w:type="dxa"/>
              <w:right w:w="195" w:type="dxa"/>
            </w:tcMar>
            <w:vAlign w:val="center"/>
            <w:hideMark/>
          </w:tcPr>
          <w:p w14:paraId="56939D21" w14:textId="77777777" w:rsidR="005415F7" w:rsidRPr="005415F7" w:rsidRDefault="005415F7" w:rsidP="0042139F">
            <w:pPr>
              <w:pStyle w:val="ACLTextFirstLine"/>
              <w:ind w:firstLine="0"/>
              <w:jc w:val="left"/>
              <w:rPr>
                <w:sz w:val="20"/>
                <w:szCs w:val="20"/>
              </w:rPr>
            </w:pPr>
            <w:r w:rsidRPr="005415F7">
              <w:rPr>
                <w:sz w:val="20"/>
                <w:szCs w:val="20"/>
              </w:rPr>
              <w:t>Base</w:t>
            </w:r>
          </w:p>
        </w:tc>
        <w:tc>
          <w:tcPr>
            <w:tcW w:w="990" w:type="dxa"/>
            <w:tcMar>
              <w:top w:w="90" w:type="dxa"/>
              <w:left w:w="195" w:type="dxa"/>
              <w:bottom w:w="90" w:type="dxa"/>
              <w:right w:w="195" w:type="dxa"/>
            </w:tcMar>
            <w:vAlign w:val="center"/>
            <w:hideMark/>
          </w:tcPr>
          <w:p w14:paraId="77FFEE86" w14:textId="77777777" w:rsidR="005415F7" w:rsidRPr="005415F7" w:rsidRDefault="005415F7" w:rsidP="0042139F">
            <w:pPr>
              <w:pStyle w:val="ACLTextFirstLine"/>
              <w:ind w:firstLine="0"/>
              <w:jc w:val="left"/>
              <w:rPr>
                <w:sz w:val="20"/>
                <w:szCs w:val="20"/>
              </w:rPr>
            </w:pPr>
            <w:r w:rsidRPr="005415F7">
              <w:rPr>
                <w:sz w:val="20"/>
                <w:szCs w:val="20"/>
              </w:rPr>
              <w:t>528</w:t>
            </w:r>
          </w:p>
        </w:tc>
        <w:tc>
          <w:tcPr>
            <w:tcW w:w="1170" w:type="dxa"/>
            <w:tcMar>
              <w:top w:w="90" w:type="dxa"/>
              <w:left w:w="195" w:type="dxa"/>
              <w:bottom w:w="90" w:type="dxa"/>
              <w:right w:w="195" w:type="dxa"/>
            </w:tcMar>
            <w:vAlign w:val="center"/>
            <w:hideMark/>
          </w:tcPr>
          <w:p w14:paraId="306E8E54" w14:textId="77777777" w:rsidR="005415F7" w:rsidRPr="005415F7" w:rsidRDefault="005415F7" w:rsidP="0042139F">
            <w:pPr>
              <w:pStyle w:val="ACLTextFirstLine"/>
              <w:ind w:firstLine="0"/>
              <w:jc w:val="left"/>
              <w:rPr>
                <w:sz w:val="20"/>
                <w:szCs w:val="20"/>
              </w:rPr>
            </w:pPr>
            <w:r w:rsidRPr="005415F7">
              <w:rPr>
                <w:sz w:val="20"/>
                <w:szCs w:val="20"/>
              </w:rPr>
              <w:t>53.3%</w:t>
            </w:r>
          </w:p>
        </w:tc>
      </w:tr>
      <w:tr w:rsidR="005415F7" w:rsidRPr="005415F7" w14:paraId="7B11C42D" w14:textId="77777777" w:rsidTr="00761FC0">
        <w:trPr>
          <w:trHeight w:val="317"/>
        </w:trPr>
        <w:tc>
          <w:tcPr>
            <w:tcW w:w="1080" w:type="dxa"/>
            <w:tcMar>
              <w:top w:w="90" w:type="dxa"/>
              <w:left w:w="195" w:type="dxa"/>
              <w:bottom w:w="90" w:type="dxa"/>
              <w:right w:w="195" w:type="dxa"/>
            </w:tcMar>
            <w:vAlign w:val="center"/>
            <w:hideMark/>
          </w:tcPr>
          <w:p w14:paraId="3B19553C" w14:textId="77777777" w:rsidR="005415F7" w:rsidRPr="005415F7" w:rsidRDefault="005415F7" w:rsidP="0042139F">
            <w:pPr>
              <w:pStyle w:val="ACLTextFirstLine"/>
              <w:ind w:firstLine="0"/>
              <w:jc w:val="left"/>
              <w:rPr>
                <w:sz w:val="20"/>
                <w:szCs w:val="20"/>
              </w:rPr>
            </w:pPr>
            <w:r w:rsidRPr="005415F7">
              <w:rPr>
                <w:sz w:val="20"/>
                <w:szCs w:val="20"/>
              </w:rPr>
              <w:t>Llama 3.1</w:t>
            </w:r>
          </w:p>
        </w:tc>
        <w:tc>
          <w:tcPr>
            <w:tcW w:w="1252" w:type="dxa"/>
            <w:tcMar>
              <w:top w:w="90" w:type="dxa"/>
              <w:left w:w="195" w:type="dxa"/>
              <w:bottom w:w="90" w:type="dxa"/>
              <w:right w:w="195" w:type="dxa"/>
            </w:tcMar>
            <w:vAlign w:val="center"/>
            <w:hideMark/>
          </w:tcPr>
          <w:p w14:paraId="55E7A262" w14:textId="5C2469F5" w:rsidR="005415F7" w:rsidRPr="005415F7" w:rsidRDefault="005415F7" w:rsidP="0042139F">
            <w:pPr>
              <w:pStyle w:val="ACLTextFirstLine"/>
              <w:ind w:firstLine="0"/>
              <w:jc w:val="left"/>
              <w:rPr>
                <w:sz w:val="20"/>
                <w:szCs w:val="20"/>
              </w:rPr>
            </w:pPr>
            <w:r w:rsidRPr="005415F7">
              <w:rPr>
                <w:sz w:val="20"/>
                <w:szCs w:val="20"/>
              </w:rPr>
              <w:t>Curr. FT</w:t>
            </w:r>
          </w:p>
        </w:tc>
        <w:tc>
          <w:tcPr>
            <w:tcW w:w="990" w:type="dxa"/>
            <w:tcMar>
              <w:top w:w="90" w:type="dxa"/>
              <w:left w:w="195" w:type="dxa"/>
              <w:bottom w:w="90" w:type="dxa"/>
              <w:right w:w="195" w:type="dxa"/>
            </w:tcMar>
            <w:vAlign w:val="center"/>
            <w:hideMark/>
          </w:tcPr>
          <w:p w14:paraId="324D5D4C" w14:textId="77777777" w:rsidR="005415F7" w:rsidRPr="005415F7" w:rsidRDefault="005415F7" w:rsidP="0042139F">
            <w:pPr>
              <w:pStyle w:val="ACLTextFirstLine"/>
              <w:ind w:firstLine="0"/>
              <w:jc w:val="left"/>
              <w:rPr>
                <w:sz w:val="20"/>
                <w:szCs w:val="20"/>
              </w:rPr>
            </w:pPr>
            <w:r w:rsidRPr="005415F7">
              <w:rPr>
                <w:sz w:val="20"/>
                <w:szCs w:val="20"/>
              </w:rPr>
              <w:t>512</w:t>
            </w:r>
          </w:p>
        </w:tc>
        <w:tc>
          <w:tcPr>
            <w:tcW w:w="1170" w:type="dxa"/>
            <w:tcMar>
              <w:top w:w="90" w:type="dxa"/>
              <w:left w:w="195" w:type="dxa"/>
              <w:bottom w:w="90" w:type="dxa"/>
              <w:right w:w="195" w:type="dxa"/>
            </w:tcMar>
            <w:vAlign w:val="center"/>
            <w:hideMark/>
          </w:tcPr>
          <w:p w14:paraId="5D010253" w14:textId="77777777" w:rsidR="005415F7" w:rsidRPr="005415F7" w:rsidRDefault="005415F7" w:rsidP="0042139F">
            <w:pPr>
              <w:pStyle w:val="ACLTextFirstLine"/>
              <w:ind w:firstLine="0"/>
              <w:jc w:val="left"/>
              <w:rPr>
                <w:sz w:val="20"/>
                <w:szCs w:val="20"/>
              </w:rPr>
            </w:pPr>
            <w:r w:rsidRPr="005415F7">
              <w:rPr>
                <w:sz w:val="20"/>
                <w:szCs w:val="20"/>
              </w:rPr>
              <w:t>57.8%</w:t>
            </w:r>
          </w:p>
        </w:tc>
      </w:tr>
      <w:tr w:rsidR="005415F7" w:rsidRPr="005415F7" w14:paraId="4213A371" w14:textId="77777777" w:rsidTr="00761FC0">
        <w:trPr>
          <w:trHeight w:val="328"/>
        </w:trPr>
        <w:tc>
          <w:tcPr>
            <w:tcW w:w="1080" w:type="dxa"/>
            <w:tcBorders>
              <w:bottom w:val="single" w:sz="6" w:space="0" w:color="000000" w:themeColor="text1"/>
            </w:tcBorders>
            <w:tcMar>
              <w:top w:w="90" w:type="dxa"/>
              <w:left w:w="195" w:type="dxa"/>
              <w:bottom w:w="90" w:type="dxa"/>
              <w:right w:w="195" w:type="dxa"/>
            </w:tcMar>
            <w:vAlign w:val="center"/>
            <w:hideMark/>
          </w:tcPr>
          <w:p w14:paraId="739FF8B1" w14:textId="77777777" w:rsidR="005415F7" w:rsidRPr="005415F7" w:rsidRDefault="005415F7" w:rsidP="0042139F">
            <w:pPr>
              <w:pStyle w:val="ACLTextFirstLine"/>
              <w:ind w:firstLine="0"/>
              <w:jc w:val="left"/>
              <w:rPr>
                <w:sz w:val="20"/>
                <w:szCs w:val="20"/>
              </w:rPr>
            </w:pPr>
            <w:r w:rsidRPr="005415F7">
              <w:rPr>
                <w:sz w:val="20"/>
                <w:szCs w:val="20"/>
              </w:rPr>
              <w:t>Llama 3.1</w:t>
            </w:r>
          </w:p>
        </w:tc>
        <w:tc>
          <w:tcPr>
            <w:tcW w:w="1252" w:type="dxa"/>
            <w:tcBorders>
              <w:bottom w:val="single" w:sz="6" w:space="0" w:color="000000" w:themeColor="text1"/>
            </w:tcBorders>
            <w:tcMar>
              <w:top w:w="90" w:type="dxa"/>
              <w:left w:w="195" w:type="dxa"/>
              <w:bottom w:w="90" w:type="dxa"/>
              <w:right w:w="195" w:type="dxa"/>
            </w:tcMar>
            <w:vAlign w:val="center"/>
            <w:hideMark/>
          </w:tcPr>
          <w:p w14:paraId="5B14925D" w14:textId="77777777" w:rsidR="005415F7" w:rsidRPr="005415F7" w:rsidRDefault="005415F7" w:rsidP="0042139F">
            <w:pPr>
              <w:pStyle w:val="ACLTextFirstLine"/>
              <w:ind w:firstLine="0"/>
              <w:jc w:val="left"/>
              <w:rPr>
                <w:sz w:val="20"/>
                <w:szCs w:val="20"/>
              </w:rPr>
            </w:pPr>
            <w:r w:rsidRPr="005415F7">
              <w:rPr>
                <w:sz w:val="20"/>
                <w:szCs w:val="20"/>
              </w:rPr>
              <w:t>Base</w:t>
            </w:r>
          </w:p>
        </w:tc>
        <w:tc>
          <w:tcPr>
            <w:tcW w:w="990" w:type="dxa"/>
            <w:tcBorders>
              <w:bottom w:val="single" w:sz="6" w:space="0" w:color="000000" w:themeColor="text1"/>
            </w:tcBorders>
            <w:tcMar>
              <w:top w:w="90" w:type="dxa"/>
              <w:left w:w="195" w:type="dxa"/>
              <w:bottom w:w="90" w:type="dxa"/>
              <w:right w:w="195" w:type="dxa"/>
            </w:tcMar>
            <w:vAlign w:val="center"/>
            <w:hideMark/>
          </w:tcPr>
          <w:p w14:paraId="3F3FE190" w14:textId="77777777" w:rsidR="005415F7" w:rsidRPr="005415F7" w:rsidRDefault="005415F7" w:rsidP="0042139F">
            <w:pPr>
              <w:pStyle w:val="ACLTextFirstLine"/>
              <w:ind w:firstLine="0"/>
              <w:jc w:val="left"/>
              <w:rPr>
                <w:sz w:val="20"/>
                <w:szCs w:val="20"/>
              </w:rPr>
            </w:pPr>
            <w:r w:rsidRPr="005415F7">
              <w:rPr>
                <w:sz w:val="20"/>
                <w:szCs w:val="20"/>
              </w:rPr>
              <w:t>386</w:t>
            </w:r>
          </w:p>
        </w:tc>
        <w:tc>
          <w:tcPr>
            <w:tcW w:w="1170" w:type="dxa"/>
            <w:tcBorders>
              <w:bottom w:val="single" w:sz="6" w:space="0" w:color="000000" w:themeColor="text1"/>
            </w:tcBorders>
            <w:tcMar>
              <w:top w:w="90" w:type="dxa"/>
              <w:left w:w="195" w:type="dxa"/>
              <w:bottom w:w="90" w:type="dxa"/>
              <w:right w:w="195" w:type="dxa"/>
            </w:tcMar>
            <w:vAlign w:val="center"/>
            <w:hideMark/>
          </w:tcPr>
          <w:p w14:paraId="10BD1ABF" w14:textId="77777777" w:rsidR="005415F7" w:rsidRPr="005415F7" w:rsidRDefault="005415F7" w:rsidP="0042139F">
            <w:pPr>
              <w:pStyle w:val="ACLTextFirstLine"/>
              <w:ind w:firstLine="0"/>
              <w:jc w:val="left"/>
              <w:rPr>
                <w:sz w:val="20"/>
                <w:szCs w:val="20"/>
              </w:rPr>
            </w:pPr>
            <w:r w:rsidRPr="005415F7">
              <w:rPr>
                <w:sz w:val="20"/>
                <w:szCs w:val="20"/>
              </w:rPr>
              <w:t>55.8%</w:t>
            </w:r>
          </w:p>
        </w:tc>
      </w:tr>
    </w:tbl>
    <w:p w14:paraId="0671EEF6" w14:textId="2EC735ED" w:rsidR="00443F5E" w:rsidRPr="00904E71" w:rsidRDefault="00242C04" w:rsidP="00904E71">
      <w:pPr>
        <w:pStyle w:val="Caption"/>
        <w:framePr w:hSpace="0" w:wrap="auto" w:xAlign="left" w:yAlign="inline"/>
        <w:suppressOverlap w:val="0"/>
      </w:pPr>
      <w:r w:rsidRPr="00471846">
        <w:t xml:space="preserve">Table </w:t>
      </w:r>
      <w:fldSimple w:instr=" SEQ Table \* ARABIC ">
        <w:r w:rsidR="000B0AD5">
          <w:rPr>
            <w:noProof/>
          </w:rPr>
          <w:t>9</w:t>
        </w:r>
      </w:fldSimple>
      <w:r w:rsidRPr="00471846">
        <w:t>:</w:t>
      </w:r>
      <w:r>
        <w:t xml:space="preserve"> </w:t>
      </w:r>
      <w:r w:rsidRPr="00242C04">
        <w:t>General question metrics (Q76–222, Protocol v3)</w:t>
      </w:r>
      <w:r>
        <w:t>.</w:t>
      </w:r>
    </w:p>
    <w:p w14:paraId="1246F039" w14:textId="6EB74256" w:rsidR="00E92995" w:rsidRDefault="004C739E" w:rsidP="00B428D6">
      <w:pPr>
        <w:pStyle w:val="ACLTextFirstLine"/>
        <w:rPr>
          <w:sz w:val="22"/>
          <w:szCs w:val="22"/>
        </w:rPr>
      </w:pPr>
      <w:r w:rsidRPr="004C739E">
        <w:rPr>
          <w:sz w:val="22"/>
          <w:szCs w:val="22"/>
        </w:rPr>
        <w:t>Both fine-tuned conditions produce more concise responses than base while maintaining or improving keyword coverage — except Llama, which becomes 33% more verbose (386→512 words). Randomized Phi reaches the highest absolute keyword coverage of any fine-tuned model (59.3%), exceeding even its base (58.0%); curriculum Phi drops to 55.8%. For Gemma 2 both conditions edge above base, randomized slightly ahead (55.5% vs. 54.1%). Curriculum induces stronger length compression, potentially discarding useful content.</w:t>
      </w:r>
    </w:p>
    <w:p w14:paraId="7EF45C98" w14:textId="63299D98" w:rsidR="003E0B04" w:rsidRDefault="003E0B04" w:rsidP="003E0B04">
      <w:pPr>
        <w:pStyle w:val="ACLSection"/>
      </w:pPr>
      <w:r>
        <w:t>Discussion</w:t>
      </w:r>
    </w:p>
    <w:p w14:paraId="7F9140D4" w14:textId="469D65E8" w:rsidR="003E0B04" w:rsidRPr="003E0B04" w:rsidRDefault="003E0B04" w:rsidP="003E0B04">
      <w:pPr>
        <w:pStyle w:val="ACLSubsection"/>
        <w:rPr>
          <w:bCs/>
        </w:rPr>
      </w:pPr>
      <w:r w:rsidRPr="003E0B04">
        <w:rPr>
          <w:bCs/>
        </w:rPr>
        <w:t>The Educator Effect</w:t>
      </w:r>
    </w:p>
    <w:p w14:paraId="1C5631AB" w14:textId="5747EF71" w:rsidR="005054B5" w:rsidRPr="005054B5" w:rsidRDefault="005054B5" w:rsidP="007053FA">
      <w:pPr>
        <w:pStyle w:val="ACLTextFirstLine"/>
        <w:ind w:firstLine="0"/>
        <w:rPr>
          <w:sz w:val="22"/>
          <w:szCs w:val="22"/>
        </w:rPr>
      </w:pPr>
      <w:r w:rsidRPr="005054B5">
        <w:rPr>
          <w:sz w:val="22"/>
          <w:szCs w:val="22"/>
        </w:rPr>
        <w:t xml:space="preserve">The most salient finding is the educator effect: fine-tuned models adopt pedagogical response styles — detailed explanations, conceptual context, instructional scaffolding — inappropriate for constrained formats such as MCQ. This is consistent with the training system prompt </w:t>
      </w:r>
      <w:r w:rsidRPr="005054B5">
        <w:rPr>
          <w:sz w:val="22"/>
          <w:szCs w:val="22"/>
        </w:rPr>
        <w:t>instructing the model to “teach the concept behind the answer”: the model becomes a better teacher but a worse test-taker.</w:t>
      </w:r>
    </w:p>
    <w:p w14:paraId="31BC2FE2" w14:textId="77777777" w:rsidR="005054B5" w:rsidRPr="005054B5" w:rsidRDefault="005054B5" w:rsidP="005054B5">
      <w:pPr>
        <w:pStyle w:val="ACLTextFirstLine"/>
        <w:rPr>
          <w:sz w:val="22"/>
          <w:szCs w:val="22"/>
        </w:rPr>
      </w:pPr>
      <w:r w:rsidRPr="005054B5">
        <w:rPr>
          <w:sz w:val="22"/>
          <w:szCs w:val="22"/>
        </w:rPr>
        <w:t>In our three-model sample severity appears to scale with model capacity, but the three models differ simultaneously in size, architecture, tokenizer, instruction-tuning procedure, and learning rate; we therefore frame the ordering below as a hypothesis, not a demonstrated capacity–entrenchment law:</w:t>
      </w:r>
    </w:p>
    <w:p w14:paraId="1B85C4E0" w14:textId="77777777" w:rsidR="005054B5" w:rsidRPr="005054B5" w:rsidRDefault="005054B5" w:rsidP="005054B5">
      <w:pPr>
        <w:pStyle w:val="ACLTextFirstLine"/>
        <w:numPr>
          <w:ilvl w:val="0"/>
          <w:numId w:val="26"/>
        </w:numPr>
        <w:rPr>
          <w:sz w:val="22"/>
          <w:szCs w:val="22"/>
        </w:rPr>
      </w:pPr>
      <w:r w:rsidRPr="005054B5">
        <w:rPr>
          <w:b/>
          <w:bCs/>
          <w:sz w:val="22"/>
          <w:szCs w:val="22"/>
        </w:rPr>
        <w:t>Llama 3.1 8B</w:t>
      </w:r>
      <w:r w:rsidRPr="005054B5">
        <w:rPr>
          <w:sz w:val="22"/>
          <w:szCs w:val="22"/>
        </w:rPr>
        <w:t> (0.92% trainable) exhibits deep behavioral entrenchment: verbose explanations override format instructions under all protocols, averaging 49.7 words per exam response under strict MCQ constraints. Fine-tuned Llama's evaluation time is more than double base (51.1 vs. 22.1 minutes under v3), consistent with maximum-length response generation.</w:t>
      </w:r>
    </w:p>
    <w:p w14:paraId="75DE7BB2" w14:textId="132CE442" w:rsidR="005054B5" w:rsidRPr="005054B5" w:rsidRDefault="005054B5" w:rsidP="005054B5">
      <w:pPr>
        <w:pStyle w:val="ACLTextFirstLine"/>
        <w:numPr>
          <w:ilvl w:val="0"/>
          <w:numId w:val="26"/>
        </w:numPr>
        <w:rPr>
          <w:sz w:val="22"/>
          <w:szCs w:val="22"/>
        </w:rPr>
      </w:pPr>
      <w:r w:rsidRPr="005054B5">
        <w:rPr>
          <w:b/>
          <w:bCs/>
          <w:sz w:val="22"/>
          <w:szCs w:val="22"/>
        </w:rPr>
        <w:t>Phi-3.5</w:t>
      </w:r>
      <w:r w:rsidRPr="005054B5">
        <w:rPr>
          <w:sz w:val="22"/>
          <w:szCs w:val="22"/>
        </w:rPr>
        <w:t> (1.24% trainable) internalizes the pedagogical style while retaining format modulation</w:t>
      </w:r>
      <w:r w:rsidR="00153EDA">
        <w:rPr>
          <w:sz w:val="22"/>
          <w:szCs w:val="22"/>
        </w:rPr>
        <w:t xml:space="preserve">, </w:t>
      </w:r>
      <w:r w:rsidRPr="005054B5">
        <w:rPr>
          <w:sz w:val="22"/>
          <w:szCs w:val="22"/>
        </w:rPr>
        <w:t>producing concise exam responses (9.6 words) and improving accuracy by +4.0 pp. Fine-tuned Phi is also slightly faster than base (25.3 vs. 28.9 minutes), reflecting more concise outputs.</w:t>
      </w:r>
    </w:p>
    <w:p w14:paraId="733C4FF3" w14:textId="77777777" w:rsidR="005054B5" w:rsidRPr="005054B5" w:rsidRDefault="005054B5" w:rsidP="005054B5">
      <w:pPr>
        <w:pStyle w:val="ACLTextFirstLine"/>
        <w:numPr>
          <w:ilvl w:val="0"/>
          <w:numId w:val="26"/>
        </w:numPr>
        <w:rPr>
          <w:sz w:val="22"/>
          <w:szCs w:val="22"/>
        </w:rPr>
      </w:pPr>
      <w:r w:rsidRPr="005054B5">
        <w:rPr>
          <w:b/>
          <w:bCs/>
          <w:sz w:val="22"/>
          <w:szCs w:val="22"/>
        </w:rPr>
        <w:t>Gemma 2 2B</w:t>
      </w:r>
      <w:r w:rsidRPr="005054B5">
        <w:rPr>
          <w:sz w:val="22"/>
          <w:szCs w:val="22"/>
        </w:rPr>
        <w:t> (1.28% trainable) shows virtually no educator effect on exam responses (8.4 words, matching base), while improving accuracy by +9.3 pp.</w:t>
      </w:r>
    </w:p>
    <w:p w14:paraId="6BD419E1" w14:textId="77777777" w:rsidR="005054B5" w:rsidRPr="005054B5" w:rsidRDefault="005054B5" w:rsidP="005054B5">
      <w:pPr>
        <w:pStyle w:val="ACLTextFirstLine"/>
        <w:rPr>
          <w:sz w:val="22"/>
          <w:szCs w:val="22"/>
        </w:rPr>
      </w:pPr>
      <w:r w:rsidRPr="005054B5">
        <w:rPr>
          <w:sz w:val="22"/>
          <w:szCs w:val="22"/>
        </w:rPr>
        <w:t>This gradient is consistent with larger models absorbing both knowledge and behavioral patterns from fine-tuning data while smaller models preferentially absorb knowledge, but three points across three families cannot distinguish a true capacity effect from family- or learning-rate-specific behavior. A controlled within-family scan is required.</w:t>
      </w:r>
    </w:p>
    <w:p w14:paraId="415F27DB" w14:textId="641ED524" w:rsidR="00A35821" w:rsidRPr="003E0B04" w:rsidRDefault="00A35821" w:rsidP="00A35821">
      <w:pPr>
        <w:pStyle w:val="ACLSubsection"/>
        <w:rPr>
          <w:bCs/>
        </w:rPr>
      </w:pPr>
      <w:r w:rsidRPr="00A35821">
        <w:rPr>
          <w:bCs/>
        </w:rPr>
        <w:t>Understanding Divergent Accuracy</w:t>
      </w:r>
    </w:p>
    <w:p w14:paraId="0DC486C3" w14:textId="63EF700A" w:rsidR="00DA1E8D" w:rsidRPr="00DA1E8D" w:rsidRDefault="00DA1E8D" w:rsidP="00DA1E8D">
      <w:pPr>
        <w:pStyle w:val="ACLTextFirstLine"/>
        <w:ind w:firstLine="0"/>
        <w:rPr>
          <w:sz w:val="22"/>
          <w:szCs w:val="22"/>
        </w:rPr>
      </w:pPr>
      <w:r>
        <w:rPr>
          <w:sz w:val="22"/>
          <w:szCs w:val="22"/>
        </w:rPr>
        <w:t>W</w:t>
      </w:r>
      <w:r w:rsidRPr="00DA1E8D">
        <w:rPr>
          <w:sz w:val="22"/>
          <w:szCs w:val="22"/>
        </w:rPr>
        <w:t>e ground the divergence in three factors</w:t>
      </w:r>
      <w:r>
        <w:rPr>
          <w:sz w:val="22"/>
          <w:szCs w:val="22"/>
        </w:rPr>
        <w:t>:</w:t>
      </w:r>
    </w:p>
    <w:p w14:paraId="4772AE52" w14:textId="4F124347" w:rsidR="00DA1E8D" w:rsidRPr="00BD0FF4" w:rsidRDefault="00DA1E8D" w:rsidP="00DA1E8D">
      <w:pPr>
        <w:pStyle w:val="ACLTextFirstLine"/>
        <w:rPr>
          <w:sz w:val="22"/>
          <w:szCs w:val="22"/>
        </w:rPr>
      </w:pPr>
      <w:r w:rsidRPr="00DA1E8D">
        <w:rPr>
          <w:b/>
          <w:bCs/>
          <w:sz w:val="22"/>
          <w:szCs w:val="22"/>
        </w:rPr>
        <w:t xml:space="preserve">Capacity–entrenchment tradeoff. </w:t>
      </w:r>
      <w:r w:rsidRPr="00BD0FF4">
        <w:rPr>
          <w:sz w:val="22"/>
          <w:szCs w:val="22"/>
        </w:rPr>
        <w:t>Biderman et al. (2024) show LoRA acts as implicit regularization against forgetting; our result inverts the naive expectation — the smallest model benefits most, the largest degrades most. Larger capacity appears to absorb not only facts but also the training data's pedagogical patterns, which dominate under format-constrained evaluation. Gemma 2's smaller representational space may filter stylistic patterns while retaining factual content.</w:t>
      </w:r>
    </w:p>
    <w:p w14:paraId="15966492" w14:textId="3D801022" w:rsidR="00DA1E8D" w:rsidRPr="00EB6D9B" w:rsidRDefault="00DA1E8D" w:rsidP="00DA1E8D">
      <w:pPr>
        <w:pStyle w:val="ACLTextFirstLine"/>
        <w:rPr>
          <w:sz w:val="22"/>
          <w:szCs w:val="22"/>
        </w:rPr>
      </w:pPr>
      <w:r w:rsidRPr="00DA1E8D">
        <w:rPr>
          <w:b/>
          <w:bCs/>
          <w:sz w:val="22"/>
          <w:szCs w:val="22"/>
        </w:rPr>
        <w:lastRenderedPageBreak/>
        <w:t xml:space="preserve">Learning rate as confound. </w:t>
      </w:r>
      <w:r w:rsidRPr="00EB6D9B">
        <w:rPr>
          <w:sz w:val="22"/>
          <w:szCs w:val="22"/>
        </w:rPr>
        <w:t>Gemma 2 uses a 4× lower learning rate than Phi and Llama, chosen for empirical stability. A gentler rate may update knowledge without disrupting format-following behavior. But rate alone cannot explain the divergence: Phi and Llama share the same rate yet produce opposite outcomes (+4.0 vs. −24.0 pp), so architecture and pre-training also play decisive roles.</w:t>
      </w:r>
      <m:oMath>
        <m:r>
          <w:rPr>
            <w:rFonts w:ascii="Cambria Math" w:hAnsi="Cambria Math"/>
            <w:sz w:val="22"/>
            <w:szCs w:val="22"/>
          </w:rPr>
          <m:t>5×</m:t>
        </m:r>
        <m:sSup>
          <m:sSupPr>
            <m:ctrlPr>
              <w:rPr>
                <w:rFonts w:ascii="Cambria Math" w:hAnsi="Cambria Math"/>
                <w:sz w:val="22"/>
                <w:szCs w:val="22"/>
              </w:rPr>
            </m:ctrlPr>
          </m:sSupPr>
          <m:e>
            <m:r>
              <w:rPr>
                <w:rFonts w:ascii="Cambria Math" w:hAnsi="Cambria Math"/>
                <w:sz w:val="22"/>
                <w:szCs w:val="22"/>
              </w:rPr>
              <m:t>10</m:t>
            </m:r>
          </m:e>
          <m:sup>
            <m:r>
              <w:rPr>
                <w:rFonts w:ascii="Cambria Math" w:hAnsi="Cambria Math"/>
                <w:sz w:val="22"/>
                <w:szCs w:val="22"/>
              </w:rPr>
              <m:t>-5</m:t>
            </m:r>
          </m:sup>
        </m:sSup>
        <m:r>
          <w:rPr>
            <w:rFonts w:ascii="Cambria Math" w:hAnsi="Cambria Math"/>
            <w:sz w:val="22"/>
            <w:szCs w:val="22"/>
          </w:rPr>
          <m:t>2×</m:t>
        </m:r>
        <m:sSup>
          <m:sSupPr>
            <m:ctrlPr>
              <w:rPr>
                <w:rFonts w:ascii="Cambria Math" w:hAnsi="Cambria Math"/>
                <w:sz w:val="22"/>
                <w:szCs w:val="22"/>
              </w:rPr>
            </m:ctrlPr>
          </m:sSupPr>
          <m:e>
            <m:r>
              <w:rPr>
                <w:rFonts w:ascii="Cambria Math" w:hAnsi="Cambria Math"/>
                <w:sz w:val="22"/>
                <w:szCs w:val="22"/>
              </w:rPr>
              <m:t>10</m:t>
            </m:r>
          </m:e>
          <m:sup>
            <m:r>
              <w:rPr>
                <w:rFonts w:ascii="Cambria Math" w:hAnsi="Cambria Math"/>
                <w:sz w:val="22"/>
                <w:szCs w:val="22"/>
              </w:rPr>
              <m:t>-4</m:t>
            </m:r>
          </m:sup>
        </m:sSup>
      </m:oMath>
    </w:p>
    <w:p w14:paraId="459CF447" w14:textId="7DB15385" w:rsidR="00DA1E8D" w:rsidRPr="00EB6D9B" w:rsidRDefault="00DA1E8D" w:rsidP="00DA1E8D">
      <w:pPr>
        <w:pStyle w:val="ACLTextFirstLine"/>
        <w:rPr>
          <w:sz w:val="22"/>
          <w:szCs w:val="22"/>
        </w:rPr>
      </w:pPr>
      <w:r w:rsidRPr="00DA1E8D">
        <w:rPr>
          <w:b/>
          <w:bCs/>
          <w:sz w:val="22"/>
          <w:szCs w:val="22"/>
        </w:rPr>
        <w:t xml:space="preserve">The Knowledge Distillation Hypothesis (speculative). </w:t>
      </w:r>
      <w:r w:rsidRPr="00EB6D9B">
        <w:rPr>
          <w:sz w:val="22"/>
          <w:szCs w:val="22"/>
        </w:rPr>
        <w:t xml:space="preserve">Gemma 2 was pre-trained via knowledge distillation (Hinton et al., 2015; Gemma Team, 2024) rather than standard next-token prediction. We hypothesize, but do not demonstrate, that this could yield representations more robust to behavioral disruption. Because Gemma 2 is the only KD-trained model in our comparison </w:t>
      </w:r>
      <w:proofErr w:type="gramStart"/>
      <w:r w:rsidRPr="00EB6D9B">
        <w:rPr>
          <w:sz w:val="22"/>
          <w:szCs w:val="22"/>
        </w:rPr>
        <w:t>and also</w:t>
      </w:r>
      <w:proofErr w:type="gramEnd"/>
      <w:r w:rsidRPr="00EB6D9B">
        <w:rPr>
          <w:sz w:val="22"/>
          <w:szCs w:val="22"/>
        </w:rPr>
        <w:t xml:space="preserve"> differs in scale, family, tokenizer, and learning rate, the points below are a hypothesis to be tested:</w:t>
      </w:r>
    </w:p>
    <w:p w14:paraId="31542D52" w14:textId="77777777" w:rsidR="00DA1E8D" w:rsidRPr="00DA1E8D" w:rsidRDefault="00DA1E8D" w:rsidP="00DA1E8D">
      <w:pPr>
        <w:pStyle w:val="ACLTextFirstLine"/>
        <w:numPr>
          <w:ilvl w:val="0"/>
          <w:numId w:val="27"/>
        </w:numPr>
        <w:rPr>
          <w:sz w:val="22"/>
          <w:szCs w:val="22"/>
        </w:rPr>
      </w:pPr>
      <w:r w:rsidRPr="00DA1E8D">
        <w:rPr>
          <w:i/>
          <w:iCs/>
          <w:sz w:val="22"/>
          <w:szCs w:val="22"/>
        </w:rPr>
        <w:t>Distributional awareness.</w:t>
      </w:r>
      <w:r w:rsidRPr="00DA1E8D">
        <w:rPr>
          <w:sz w:val="22"/>
          <w:szCs w:val="22"/>
        </w:rPr>
        <w:t> Soft targets produce calibrated probability mass across completions, making output behavior inherently more stable.</w:t>
      </w:r>
    </w:p>
    <w:p w14:paraId="055B815A" w14:textId="47FC7995" w:rsidR="00DA1E8D" w:rsidRPr="00DA1E8D" w:rsidRDefault="00DA1E8D" w:rsidP="00DA1E8D">
      <w:pPr>
        <w:pStyle w:val="ACLTextFirstLine"/>
        <w:numPr>
          <w:ilvl w:val="0"/>
          <w:numId w:val="27"/>
        </w:numPr>
        <w:rPr>
          <w:sz w:val="22"/>
          <w:szCs w:val="22"/>
        </w:rPr>
      </w:pPr>
      <w:r w:rsidRPr="00DA1E8D">
        <w:rPr>
          <w:i/>
          <w:iCs/>
          <w:sz w:val="22"/>
          <w:szCs w:val="22"/>
        </w:rPr>
        <w:t>Format robustness.</w:t>
      </w:r>
      <w:r w:rsidRPr="00DA1E8D">
        <w:rPr>
          <w:sz w:val="22"/>
          <w:szCs w:val="22"/>
        </w:rPr>
        <w:t> The Gemma 2 technical report shows σ=2.1 on MMLU across 12 formatting variations, versus 6.9 for Mistral 7B (Gemma Team, 2024, Table 11)</w:t>
      </w:r>
      <w:r w:rsidR="00FD209C">
        <w:rPr>
          <w:sz w:val="22"/>
          <w:szCs w:val="22"/>
        </w:rPr>
        <w:t xml:space="preserve">, </w:t>
      </w:r>
      <w:r w:rsidRPr="00DA1E8D">
        <w:rPr>
          <w:sz w:val="22"/>
          <w:szCs w:val="22"/>
        </w:rPr>
        <w:t>inherent format stability surviving fine-tuning.</w:t>
      </w:r>
    </w:p>
    <w:p w14:paraId="227E1604" w14:textId="77777777" w:rsidR="00DA1E8D" w:rsidRPr="00DA1E8D" w:rsidRDefault="00DA1E8D" w:rsidP="00DA1E8D">
      <w:pPr>
        <w:pStyle w:val="ACLTextFirstLine"/>
        <w:numPr>
          <w:ilvl w:val="0"/>
          <w:numId w:val="27"/>
        </w:numPr>
        <w:rPr>
          <w:sz w:val="22"/>
          <w:szCs w:val="22"/>
        </w:rPr>
      </w:pPr>
      <w:r w:rsidRPr="00DA1E8D">
        <w:rPr>
          <w:i/>
          <w:iCs/>
          <w:sz w:val="22"/>
          <w:szCs w:val="22"/>
        </w:rPr>
        <w:t>Double distillation.</w:t>
      </w:r>
      <w:r w:rsidRPr="00DA1E8D">
        <w:rPr>
          <w:sz w:val="22"/>
          <w:szCs w:val="22"/>
        </w:rPr>
        <w:t xml:space="preserve"> Both pre-training and instruction tuning use distillation, doubly reinforcing format-appropriate response generation. When </w:t>
      </w:r>
      <w:proofErr w:type="spellStart"/>
      <w:r w:rsidRPr="00DA1E8D">
        <w:rPr>
          <w:sz w:val="22"/>
          <w:szCs w:val="22"/>
        </w:rPr>
        <w:t>QLoRA</w:t>
      </w:r>
      <w:proofErr w:type="spellEnd"/>
      <w:r w:rsidRPr="00DA1E8D">
        <w:rPr>
          <w:sz w:val="22"/>
          <w:szCs w:val="22"/>
        </w:rPr>
        <w:t xml:space="preserve"> subsequently modifies 1.28% of parameters, the distillation-trained majority anchors against behavioral drift.</w:t>
      </w:r>
    </w:p>
    <w:p w14:paraId="5A1F5365" w14:textId="77777777" w:rsidR="00DA1E8D" w:rsidRPr="00DA1E8D" w:rsidRDefault="00DA1E8D" w:rsidP="00DA1E8D">
      <w:pPr>
        <w:pStyle w:val="ACLTextFirstLine"/>
        <w:rPr>
          <w:sz w:val="22"/>
          <w:szCs w:val="22"/>
        </w:rPr>
      </w:pPr>
      <w:r w:rsidRPr="00DA1E8D">
        <w:rPr>
          <w:sz w:val="22"/>
          <w:szCs w:val="22"/>
        </w:rPr>
        <w:t>NTP-trained models (Phi, Llama) optimize for the single most likely next token and may be more susceptible to wholesale mode switching when LoRA introduces new behavior. Gemma 2's observation that IT models are better at “understanding formatted questions” is consistent with KD producing a more modular knowledge/format relationship. A controlled test using KD-trained and from-scratch Gemma 2 variants is left to future work.</w:t>
      </w:r>
    </w:p>
    <w:p w14:paraId="1FAB87BF" w14:textId="6C7E9072" w:rsidR="00AE3FA3" w:rsidRDefault="00DA1E8D" w:rsidP="00DA1E8D">
      <w:pPr>
        <w:pStyle w:val="ACLTextFirstLine"/>
        <w:rPr>
          <w:sz w:val="22"/>
          <w:szCs w:val="22"/>
        </w:rPr>
      </w:pPr>
      <w:r w:rsidRPr="00DA1E8D">
        <w:rPr>
          <w:sz w:val="22"/>
          <w:szCs w:val="22"/>
        </w:rPr>
        <w:t xml:space="preserve">An additional factor is objective mismatch. The training objective (maximize likelihood of detailed explanations) is misaligned with the MCQ objective (select a single letter). Impact depends on whether the model can compartmentalize </w:t>
      </w:r>
      <w:r w:rsidRPr="00DA1E8D">
        <w:rPr>
          <w:sz w:val="22"/>
          <w:szCs w:val="22"/>
        </w:rPr>
        <w:t>knowledge from behavior: Gemma 2 and Phi do, Llama does not — its fine-tuned variant produces verbose explanations even under 64-token strict MCQ constraints.</w:t>
      </w:r>
    </w:p>
    <w:p w14:paraId="0BF2EA16" w14:textId="6BD3DF5F" w:rsidR="002A389D" w:rsidRPr="003E0B04" w:rsidRDefault="002A389D" w:rsidP="002A389D">
      <w:pPr>
        <w:pStyle w:val="ACLSubsection"/>
        <w:rPr>
          <w:bCs/>
        </w:rPr>
      </w:pPr>
      <w:r w:rsidRPr="002A389D">
        <w:rPr>
          <w:bCs/>
        </w:rPr>
        <w:t>Why Randomized Ordering Outperforms Curriculum</w:t>
      </w:r>
    </w:p>
    <w:p w14:paraId="3DDC2D4C" w14:textId="7052B323" w:rsidR="00EF1BC8" w:rsidRPr="00EF1BC8" w:rsidRDefault="00EF1BC8" w:rsidP="00EF1BC8">
      <w:pPr>
        <w:pStyle w:val="ACLTextFirstLine"/>
        <w:rPr>
          <w:sz w:val="22"/>
          <w:szCs w:val="22"/>
        </w:rPr>
      </w:pPr>
      <w:r w:rsidRPr="00EF1BC8">
        <w:rPr>
          <w:sz w:val="22"/>
          <w:szCs w:val="22"/>
        </w:rPr>
        <w:t xml:space="preserve">Our ablation extends Wu et al. (2021) and Campos (2021) to </w:t>
      </w:r>
      <w:proofErr w:type="spellStart"/>
      <w:r w:rsidRPr="00EF1BC8">
        <w:rPr>
          <w:sz w:val="22"/>
          <w:szCs w:val="22"/>
        </w:rPr>
        <w:t>LoRA</w:t>
      </w:r>
      <w:proofErr w:type="spellEnd"/>
      <w:r w:rsidRPr="00EF1BC8">
        <w:rPr>
          <w:sz w:val="22"/>
          <w:szCs w:val="22"/>
        </w:rPr>
        <w:t xml:space="preserve"> fine-tuning. When dataset size is fixed (all samples seen in one epoch), curriculum provides no benefit. Our results go beyond "no benefit" to suggest that curriculum ordering can be </w:t>
      </w:r>
      <w:r w:rsidRPr="00EF1BC8">
        <w:rPr>
          <w:bCs/>
          <w:sz w:val="22"/>
          <w:szCs w:val="22"/>
        </w:rPr>
        <w:t>counterproductive</w:t>
      </w:r>
      <w:r w:rsidRPr="00EF1BC8">
        <w:rPr>
          <w:sz w:val="22"/>
          <w:szCs w:val="22"/>
        </w:rPr>
        <w:t> for parameter-efficient fine-tuning.</w:t>
      </w:r>
    </w:p>
    <w:p w14:paraId="42C29074" w14:textId="0E680D76" w:rsidR="00EF1BC8" w:rsidRPr="00EF1BC8" w:rsidRDefault="00EF1BC8" w:rsidP="00EF1BC8">
      <w:pPr>
        <w:pStyle w:val="ACLTextFirstLine"/>
        <w:rPr>
          <w:sz w:val="22"/>
          <w:szCs w:val="22"/>
        </w:rPr>
      </w:pPr>
      <w:r w:rsidRPr="00EF1BC8">
        <w:rPr>
          <w:sz w:val="22"/>
          <w:szCs w:val="22"/>
        </w:rPr>
        <w:t>We propose recency bias interacting with LoRA's capacity bottleneck. Adapters modify only 1.24–1.28% of parameters. Under curriculum ordering the adapter first specializes for easy examples (Tiers 1–2) and must overwrite them as harder examples arrive (Tiers 5–6), biasing it toward the final tier (cloud security). Randomization interleaves difficulty in every batch, forcing the adapter to span the full spectrum — implicit regularization.</w:t>
      </w:r>
    </w:p>
    <w:p w14:paraId="6281B2B6" w14:textId="662DC0BC" w:rsidR="00EF1BC8" w:rsidRPr="00EF1BC8" w:rsidRDefault="00EF1BC8" w:rsidP="00184BFF">
      <w:pPr>
        <w:pStyle w:val="ACLTextFirstLine"/>
        <w:rPr>
          <w:sz w:val="22"/>
          <w:szCs w:val="22"/>
        </w:rPr>
      </w:pPr>
      <w:r w:rsidRPr="00EF1BC8">
        <w:rPr>
          <w:sz w:val="22"/>
          <w:szCs w:val="22"/>
        </w:rPr>
        <w:t>Training loss corroborates: Gemma 2's curriculum loss (0.611) is strikingly low versus randomized (1.128), likely reflecting overfitting to ordered structure. Predictable curriculum progression yields high-confidence next-token predictions without necessarily better knowledge acquisition; randomization's higher loss reflects the harder learning signal of interleaved difficulty, producing more robust representations.</w:t>
      </w:r>
    </w:p>
    <w:p w14:paraId="3F612581" w14:textId="26E37F55" w:rsidR="00184BFF" w:rsidRPr="009A6A1A" w:rsidRDefault="002A389D" w:rsidP="00184BFF">
      <w:pPr>
        <w:pStyle w:val="ACLSection"/>
        <w:rPr>
          <w:sz w:val="28"/>
          <w:szCs w:val="21"/>
        </w:rPr>
      </w:pPr>
      <w:r w:rsidRPr="009A6A1A">
        <w:rPr>
          <w:spacing w:val="-2"/>
          <w:kern w:val="16"/>
          <w:szCs w:val="24"/>
        </w:rPr>
        <w:t> </w:t>
      </w:r>
      <w:r w:rsidR="00184BFF" w:rsidRPr="009A6A1A">
        <w:rPr>
          <w:spacing w:val="-2"/>
          <w:kern w:val="16"/>
          <w:szCs w:val="24"/>
        </w:rPr>
        <w:t>Conclusion</w:t>
      </w:r>
    </w:p>
    <w:p w14:paraId="5502C699" w14:textId="40997407" w:rsidR="00184BFF" w:rsidRPr="00184BFF" w:rsidRDefault="00184BFF" w:rsidP="00184BFF">
      <w:pPr>
        <w:pStyle w:val="ACLTextFirstLine"/>
        <w:ind w:firstLine="0"/>
        <w:rPr>
          <w:sz w:val="22"/>
          <w:szCs w:val="22"/>
        </w:rPr>
      </w:pPr>
      <w:r w:rsidRPr="00184BFF">
        <w:rPr>
          <w:sz w:val="22"/>
          <w:szCs w:val="22"/>
        </w:rPr>
        <w:t xml:space="preserve">We fine-tune three small language models for cybersecurity using </w:t>
      </w:r>
      <w:proofErr w:type="spellStart"/>
      <w:r w:rsidRPr="00184BFF">
        <w:rPr>
          <w:sz w:val="22"/>
          <w:szCs w:val="22"/>
        </w:rPr>
        <w:t>QLoRA</w:t>
      </w:r>
      <w:proofErr w:type="spellEnd"/>
      <w:r w:rsidRPr="00184BFF">
        <w:rPr>
          <w:sz w:val="22"/>
          <w:szCs w:val="22"/>
        </w:rPr>
        <w:t xml:space="preserve"> on V100 GPUs and present four key findings.</w:t>
      </w:r>
    </w:p>
    <w:p w14:paraId="6689C155" w14:textId="443E2FAB" w:rsidR="00184BFF" w:rsidRPr="00C6566D" w:rsidRDefault="00184BFF" w:rsidP="00184BFF">
      <w:pPr>
        <w:pStyle w:val="ACLTextFirstLine"/>
        <w:rPr>
          <w:sz w:val="22"/>
          <w:szCs w:val="22"/>
        </w:rPr>
      </w:pPr>
      <w:r w:rsidRPr="00C6566D">
        <w:rPr>
          <w:b/>
          <w:bCs/>
          <w:sz w:val="22"/>
          <w:szCs w:val="22"/>
        </w:rPr>
        <w:t>First,</w:t>
      </w:r>
      <w:r w:rsidRPr="00C6566D">
        <w:rPr>
          <w:sz w:val="22"/>
          <w:szCs w:val="22"/>
        </w:rPr>
        <w:t xml:space="preserve"> fine-tuning effects are model-dependent: the smallest model (Gemma 2 2B) improves most (+9.3 pp), the largest (Llama 8B) degrades most (−24.0 pp), contrary to the assumption that larger models benefit more. We ground this in Biderman et al. (2024) and Kalajdzievski (2024).</w:t>
      </w:r>
    </w:p>
    <w:p w14:paraId="4DCACD58" w14:textId="40B1212B" w:rsidR="00184BFF" w:rsidRPr="00184BFF" w:rsidRDefault="00184BFF" w:rsidP="00184BFF">
      <w:pPr>
        <w:pStyle w:val="ACLTextFirstLine"/>
        <w:rPr>
          <w:sz w:val="22"/>
          <w:szCs w:val="22"/>
        </w:rPr>
      </w:pPr>
      <w:r w:rsidRPr="00184BFF">
        <w:rPr>
          <w:b/>
          <w:bCs/>
          <w:sz w:val="22"/>
          <w:szCs w:val="22"/>
        </w:rPr>
        <w:t>Second</w:t>
      </w:r>
      <w:r w:rsidRPr="00184BFF">
        <w:rPr>
          <w:sz w:val="22"/>
          <w:szCs w:val="22"/>
        </w:rPr>
        <w:t>, we introduce the </w:t>
      </w:r>
      <w:r w:rsidRPr="00184BFF">
        <w:rPr>
          <w:i/>
          <w:iCs/>
          <w:sz w:val="22"/>
          <w:szCs w:val="22"/>
        </w:rPr>
        <w:t>educator effect</w:t>
      </w:r>
      <w:r w:rsidR="00BE2089">
        <w:rPr>
          <w:sz w:val="22"/>
          <w:szCs w:val="22"/>
        </w:rPr>
        <w:t xml:space="preserve">. It is </w:t>
      </w:r>
      <w:r w:rsidRPr="00184BFF">
        <w:rPr>
          <w:sz w:val="22"/>
          <w:szCs w:val="22"/>
        </w:rPr>
        <w:t>fine-tuning on pedagogical data induces behavioral entrenchment proportional to model capacity, overriding format instructions in larger models while smaller models retain behavioral flexibility. This has implications for evaluation methodology: measured fine-tuning effectiveness depends on the evaluation protocol, not just the training.</w:t>
      </w:r>
    </w:p>
    <w:p w14:paraId="78347F48" w14:textId="77777777" w:rsidR="00184BFF" w:rsidRPr="00EB6D9B" w:rsidRDefault="00184BFF" w:rsidP="00184BFF">
      <w:pPr>
        <w:pStyle w:val="ACLTextFirstLine"/>
        <w:rPr>
          <w:sz w:val="21"/>
          <w:szCs w:val="21"/>
        </w:rPr>
      </w:pPr>
      <w:r w:rsidRPr="00184BFF">
        <w:rPr>
          <w:b/>
          <w:bCs/>
          <w:sz w:val="22"/>
          <w:szCs w:val="22"/>
        </w:rPr>
        <w:lastRenderedPageBreak/>
        <w:t>Third,</w:t>
      </w:r>
      <w:r>
        <w:t xml:space="preserve"> </w:t>
      </w:r>
      <w:r w:rsidRPr="00EB6D9B">
        <w:rPr>
          <w:sz w:val="22"/>
          <w:szCs w:val="22"/>
        </w:rPr>
        <w:t>randomized ordering consistently outperforms curriculum for LoRA fine-tuning (Phi: +14.7 pp vs. +4.0 pp; Gemma 2: +10.7 pp vs. +9.3 pp), extending Wu et al. (2021) and Campos (2021) to PEFT. Without significance tests the Gemma 2 gap is within noise; the Phi gap is the main quantitative signal. We propose recency bias interacting with LoRA's capacity bottleneck as a candidate mechanism.</w:t>
      </w:r>
    </w:p>
    <w:p w14:paraId="1103F6F4" w14:textId="4326CA07" w:rsidR="00184BFF" w:rsidRPr="00EB6D9B" w:rsidRDefault="00184BFF" w:rsidP="00184BFF">
      <w:pPr>
        <w:pStyle w:val="ACLTextFirstLine"/>
        <w:rPr>
          <w:sz w:val="22"/>
          <w:szCs w:val="22"/>
        </w:rPr>
      </w:pPr>
      <w:r w:rsidRPr="00EB6D9B">
        <w:rPr>
          <w:b/>
          <w:bCs/>
          <w:sz w:val="22"/>
          <w:szCs w:val="22"/>
        </w:rPr>
        <w:t>Fourth,</w:t>
      </w:r>
      <w:r w:rsidRPr="00EB6D9B">
        <w:rPr>
          <w:sz w:val="22"/>
          <w:szCs w:val="22"/>
        </w:rPr>
        <w:t xml:space="preserve"> KD-trained Gemma 2 is insensitive to data ordering despite large training-loss differences (0.611 vs. 1.128) — suggestive but confounded evidence that distillation-anchored base weights may sandbox adapter-level overfitting. The curriculum model achieves much lower loss yet no accuracy advantage. A controlled KD-vs-from-scratch Gemma 2 test is the most important follow-up (§6).</w:t>
      </w:r>
    </w:p>
    <w:p w14:paraId="6025A39D" w14:textId="08285954" w:rsidR="00184BFF" w:rsidRDefault="00184BFF" w:rsidP="00184BFF">
      <w:pPr>
        <w:pStyle w:val="ACLTextFirstLine"/>
        <w:rPr>
          <w:sz w:val="22"/>
          <w:szCs w:val="22"/>
        </w:rPr>
      </w:pPr>
      <w:r w:rsidRPr="00184BFF">
        <w:rPr>
          <w:sz w:val="22"/>
          <w:szCs w:val="22"/>
        </w:rPr>
        <w:t>We additionally argue that certification exams are incomplete measures of cybersecurity domain competence for generative models, and that the observed behavioral shifts may enhance utility in the intended deployment context</w:t>
      </w:r>
      <w:r w:rsidR="0037108F">
        <w:rPr>
          <w:sz w:val="22"/>
          <w:szCs w:val="22"/>
        </w:rPr>
        <w:t xml:space="preserve">, </w:t>
      </w:r>
      <w:r w:rsidRPr="00184BFF">
        <w:rPr>
          <w:sz w:val="22"/>
          <w:szCs w:val="22"/>
        </w:rPr>
        <w:t>as interactive knowledge assistants in air-gapped environments. Our findings suggest that the most promising path for resource-constrained deployment combines compact distillation-trained models with randomized fine-tuning on focused cybersecurity workflows.</w:t>
      </w:r>
    </w:p>
    <w:p w14:paraId="62297A70" w14:textId="0D97D183" w:rsidR="00AE5489" w:rsidRPr="009A6A1A" w:rsidRDefault="00AE5489" w:rsidP="00AE5489">
      <w:pPr>
        <w:pStyle w:val="ACLSection"/>
        <w:rPr>
          <w:sz w:val="28"/>
          <w:szCs w:val="21"/>
        </w:rPr>
      </w:pPr>
      <w:r w:rsidRPr="009A6A1A">
        <w:rPr>
          <w:spacing w:val="-2"/>
          <w:kern w:val="16"/>
          <w:szCs w:val="24"/>
        </w:rPr>
        <w:t> </w:t>
      </w:r>
      <w:r w:rsidRPr="00AE5489">
        <w:rPr>
          <w:spacing w:val="-2"/>
          <w:kern w:val="16"/>
          <w:szCs w:val="24"/>
        </w:rPr>
        <w:t>Future Work and Limitations</w:t>
      </w:r>
    </w:p>
    <w:p w14:paraId="51F0FA24" w14:textId="7C886FBF" w:rsidR="00042835" w:rsidRPr="00042835" w:rsidRDefault="00042835" w:rsidP="00042835">
      <w:pPr>
        <w:pStyle w:val="ACLTextFirstLine"/>
        <w:ind w:firstLine="0"/>
        <w:rPr>
          <w:sz w:val="22"/>
          <w:szCs w:val="22"/>
        </w:rPr>
      </w:pPr>
      <w:r w:rsidRPr="00042835">
        <w:rPr>
          <w:bCs/>
          <w:sz w:val="22"/>
          <w:szCs w:val="22"/>
        </w:rPr>
        <w:t>Scale dependence.</w:t>
      </w:r>
      <w:r w:rsidRPr="00042835">
        <w:rPr>
          <w:sz w:val="22"/>
          <w:szCs w:val="22"/>
        </w:rPr>
        <w:t> All existing evidence</w:t>
      </w:r>
      <w:r w:rsidR="003354C7">
        <w:rPr>
          <w:sz w:val="22"/>
          <w:szCs w:val="22"/>
        </w:rPr>
        <w:t xml:space="preserve"> </w:t>
      </w:r>
      <w:r w:rsidR="002438BD">
        <w:rPr>
          <w:sz w:val="22"/>
          <w:szCs w:val="22"/>
        </w:rPr>
        <w:t>c</w:t>
      </w:r>
      <w:r w:rsidRPr="00042835">
        <w:rPr>
          <w:sz w:val="22"/>
          <w:szCs w:val="22"/>
        </w:rPr>
        <w:t>omes from models ≤8B. Whether the educator effect, curriculum ordering effects, and KD interaction persist at 13B–70B scale is unknown. Larger adapters may reduce the recency bias mechanism. A controlled test across model sizes (e.g., Llama 3.1 at 8B and 70B) with identical data would establish whether these effects are scale-invariant.</w:t>
      </w:r>
    </w:p>
    <w:p w14:paraId="24B9205B" w14:textId="77777777" w:rsidR="00042835" w:rsidRPr="00042835" w:rsidRDefault="00042835" w:rsidP="00042835">
      <w:pPr>
        <w:pStyle w:val="ACLTextFirstLine"/>
        <w:rPr>
          <w:sz w:val="22"/>
          <w:szCs w:val="22"/>
        </w:rPr>
      </w:pPr>
      <w:r w:rsidRPr="00042835">
        <w:rPr>
          <w:b/>
          <w:bCs/>
          <w:sz w:val="22"/>
          <w:szCs w:val="22"/>
        </w:rPr>
        <w:t>Controlled KD experiment.</w:t>
      </w:r>
      <w:r w:rsidRPr="00042835">
        <w:rPr>
          <w:sz w:val="22"/>
          <w:szCs w:val="22"/>
        </w:rPr>
        <w:t> Our KD hypothesis is confounded with model scale and learning rate. Fine-tuning both KD-trained and from-scratch Gemma 2 (both publicly available) with identical hyperparameters would isolate the KD variable. This is the most important follow-up experiment.</w:t>
      </w:r>
    </w:p>
    <w:p w14:paraId="6D1AFE66" w14:textId="77777777" w:rsidR="00042835" w:rsidRPr="00EB6D9B" w:rsidRDefault="00042835" w:rsidP="00042835">
      <w:pPr>
        <w:pStyle w:val="ACLTextFirstLine"/>
        <w:rPr>
          <w:sz w:val="22"/>
          <w:szCs w:val="22"/>
        </w:rPr>
      </w:pPr>
      <w:r w:rsidRPr="00042835">
        <w:rPr>
          <w:b/>
          <w:bCs/>
          <w:sz w:val="22"/>
          <w:szCs w:val="22"/>
        </w:rPr>
        <w:t xml:space="preserve">Evaluation limitations. </w:t>
      </w:r>
      <w:r w:rsidRPr="00EB6D9B">
        <w:rPr>
          <w:sz w:val="22"/>
          <w:szCs w:val="22"/>
        </w:rPr>
        <w:t xml:space="preserve">Our 75-MCQ exam is </w:t>
      </w:r>
      <w:proofErr w:type="gramStart"/>
      <w:r w:rsidRPr="00EB6D9B">
        <w:rPr>
          <w:sz w:val="22"/>
          <w:szCs w:val="22"/>
        </w:rPr>
        <w:t>small</w:t>
      </w:r>
      <w:proofErr w:type="gramEnd"/>
      <w:r w:rsidRPr="00EB6D9B">
        <w:rPr>
          <w:sz w:val="22"/>
          <w:szCs w:val="22"/>
        </w:rPr>
        <w:t xml:space="preserve"> and we report no confidence intervals, McNemar tests, or bootstrap analyses; single-question differences should not be read as meaningful. Keyword coverage is a lightweight lexical proxy; a rubric-based or LLM-as-judge </w:t>
      </w:r>
      <w:r w:rsidRPr="00EB6D9B">
        <w:rPr>
          <w:sz w:val="22"/>
          <w:szCs w:val="22"/>
        </w:rPr>
        <w:t>evaluation, and multi-turn dialogue, would strengthen claims. CyberOps Associate-style items are topically adjacent to a subset of training courses, so gains may partly reflect source–evaluation overlap; an independent non-Cisco suite is needed.</w:t>
      </w:r>
    </w:p>
    <w:p w14:paraId="3F9E89DD" w14:textId="11C57782" w:rsidR="00042835" w:rsidRPr="00042835" w:rsidRDefault="00042835" w:rsidP="00042835">
      <w:pPr>
        <w:pStyle w:val="ACLTextFirstLine"/>
        <w:rPr>
          <w:sz w:val="22"/>
          <w:szCs w:val="22"/>
        </w:rPr>
      </w:pPr>
      <w:r w:rsidRPr="00042835">
        <w:rPr>
          <w:b/>
          <w:bCs/>
          <w:sz w:val="22"/>
          <w:szCs w:val="22"/>
        </w:rPr>
        <w:t>Training strategy refinements.</w:t>
      </w:r>
      <w:r w:rsidRPr="00042835">
        <w:rPr>
          <w:sz w:val="22"/>
          <w:szCs w:val="22"/>
        </w:rPr>
        <w:t> Mixed-format training (MCQ + explanatory QA) may reduce the educator effect while preserving knowledge gains. Two-stage training</w:t>
      </w:r>
      <w:r w:rsidR="004649DF">
        <w:rPr>
          <w:sz w:val="22"/>
          <w:szCs w:val="22"/>
        </w:rPr>
        <w:t xml:space="preserve">, </w:t>
      </w:r>
      <w:r w:rsidRPr="00042835">
        <w:rPr>
          <w:sz w:val="22"/>
          <w:szCs w:val="22"/>
        </w:rPr>
        <w:t>knowledge injection via QA followed by format adaptation via MCQ</w:t>
      </w:r>
      <w:r w:rsidR="004649DF">
        <w:rPr>
          <w:sz w:val="22"/>
          <w:szCs w:val="22"/>
        </w:rPr>
        <w:t xml:space="preserve">, </w:t>
      </w:r>
      <w:r w:rsidRPr="00042835">
        <w:rPr>
          <w:sz w:val="22"/>
          <w:szCs w:val="22"/>
        </w:rPr>
        <w:t>is another promising direction.</w:t>
      </w:r>
    </w:p>
    <w:p w14:paraId="401BB209" w14:textId="153C7839" w:rsidR="00042835" w:rsidRPr="00042835" w:rsidRDefault="00042835" w:rsidP="00042835">
      <w:pPr>
        <w:pStyle w:val="ACLTextFirstLine"/>
        <w:rPr>
          <w:sz w:val="22"/>
          <w:szCs w:val="22"/>
        </w:rPr>
      </w:pPr>
      <w:r w:rsidRPr="00042835">
        <w:rPr>
          <w:b/>
          <w:bCs/>
          <w:sz w:val="22"/>
          <w:szCs w:val="22"/>
        </w:rPr>
        <w:t>Workflow-specific fine-tuning.</w:t>
      </w:r>
      <w:r w:rsidRPr="00042835">
        <w:rPr>
          <w:sz w:val="22"/>
          <w:szCs w:val="22"/>
        </w:rPr>
        <w:t> SOC alert triage, incident response playbooks, log analysis, and forensic reporting represent bounded tasks well-suited to small models</w:t>
      </w:r>
      <w:r w:rsidR="007E4076">
        <w:rPr>
          <w:sz w:val="22"/>
          <w:szCs w:val="22"/>
        </w:rPr>
        <w:t xml:space="preserve">. They </w:t>
      </w:r>
      <w:r w:rsidRPr="00042835">
        <w:rPr>
          <w:sz w:val="22"/>
          <w:szCs w:val="22"/>
        </w:rPr>
        <w:t>potentially outperfor</w:t>
      </w:r>
      <w:r w:rsidR="007E4076">
        <w:rPr>
          <w:sz w:val="22"/>
          <w:szCs w:val="22"/>
        </w:rPr>
        <w:t>m</w:t>
      </w:r>
      <w:r w:rsidRPr="00042835">
        <w:rPr>
          <w:sz w:val="22"/>
          <w:szCs w:val="22"/>
        </w:rPr>
        <w:t xml:space="preserve"> broad domain fine-tuning. These closed-set tasks have constrained output formats and well-defined correctness criteria.</w:t>
      </w:r>
    </w:p>
    <w:p w14:paraId="7CA3B32A" w14:textId="294829DA" w:rsidR="004C1129" w:rsidRDefault="00042835" w:rsidP="00905BA9">
      <w:pPr>
        <w:pStyle w:val="ACLTextFirstLine"/>
        <w:rPr>
          <w:sz w:val="22"/>
          <w:szCs w:val="22"/>
        </w:rPr>
      </w:pPr>
      <w:r w:rsidRPr="00042835">
        <w:rPr>
          <w:b/>
          <w:bCs/>
          <w:sz w:val="22"/>
          <w:szCs w:val="22"/>
        </w:rPr>
        <w:t>Continued pretraining.</w:t>
      </w:r>
      <w:r w:rsidRPr="00042835">
        <w:rPr>
          <w:sz w:val="22"/>
          <w:szCs w:val="22"/>
        </w:rPr>
        <w:t> Following MEDITRON's approach, continued pretraining on raw cybersecurity text (RFCs, CVEs, MITRE ATT&amp;CK documentation) may improve domain knowledge without disrupting format-following capabilities</w:t>
      </w:r>
      <w:r w:rsidR="00DF35AB">
        <w:rPr>
          <w:sz w:val="22"/>
          <w:szCs w:val="22"/>
        </w:rPr>
        <w:t>: P</w:t>
      </w:r>
      <w:r w:rsidRPr="00042835">
        <w:rPr>
          <w:sz w:val="22"/>
          <w:szCs w:val="22"/>
        </w:rPr>
        <w:t>reserving the model's natural response patterns while injecting domain knowledge.</w:t>
      </w:r>
    </w:p>
    <w:p w14:paraId="004269C5" w14:textId="2C06255D" w:rsidR="004E2C58" w:rsidRPr="009A6A1A" w:rsidRDefault="004E2C58" w:rsidP="004E2C58">
      <w:pPr>
        <w:pStyle w:val="ACLSection"/>
        <w:rPr>
          <w:sz w:val="28"/>
          <w:szCs w:val="21"/>
        </w:rPr>
      </w:pPr>
      <w:r w:rsidRPr="009A6A1A">
        <w:rPr>
          <w:spacing w:val="-2"/>
          <w:kern w:val="16"/>
          <w:szCs w:val="24"/>
        </w:rPr>
        <w:t> </w:t>
      </w:r>
      <w:r>
        <w:rPr>
          <w:spacing w:val="-2"/>
          <w:kern w:val="16"/>
          <w:szCs w:val="24"/>
        </w:rPr>
        <w:t>References</w:t>
      </w:r>
    </w:p>
    <w:p w14:paraId="5E8026F3" w14:textId="3AE2BE0A" w:rsidR="00BD1D80" w:rsidRPr="00BD1D80" w:rsidRDefault="00BD1D80" w:rsidP="00BD1D80">
      <w:pPr>
        <w:pStyle w:val="ACLTextFirstLine"/>
        <w:rPr>
          <w:sz w:val="20"/>
          <w:szCs w:val="20"/>
        </w:rPr>
      </w:pPr>
      <w:r w:rsidRPr="00BD1D80">
        <w:rPr>
          <w:sz w:val="20"/>
          <w:szCs w:val="20"/>
        </w:rPr>
        <w:t>Marah Abdin et al. 2024. Phi-3 technical report: A highly capable language model locally on your phone. </w:t>
      </w:r>
      <w:proofErr w:type="spellStart"/>
      <w:r w:rsidRPr="00BD1D80">
        <w:rPr>
          <w:i/>
          <w:iCs/>
          <w:sz w:val="20"/>
          <w:szCs w:val="20"/>
        </w:rPr>
        <w:t>arXiv</w:t>
      </w:r>
      <w:proofErr w:type="spellEnd"/>
      <w:r w:rsidRPr="00BD1D80">
        <w:rPr>
          <w:i/>
          <w:iCs/>
          <w:sz w:val="20"/>
          <w:szCs w:val="20"/>
        </w:rPr>
        <w:t xml:space="preserve"> preprint arXiv:2404.14219</w:t>
      </w:r>
      <w:r w:rsidRPr="00BD1D80">
        <w:rPr>
          <w:sz w:val="20"/>
          <w:szCs w:val="20"/>
        </w:rPr>
        <w:t>.</w:t>
      </w:r>
    </w:p>
    <w:p w14:paraId="756316E9" w14:textId="77777777" w:rsidR="00BD1D80" w:rsidRPr="00BD1D80" w:rsidRDefault="00BD1D80" w:rsidP="00BD1D80">
      <w:pPr>
        <w:pStyle w:val="ACLTextFirstLine"/>
        <w:rPr>
          <w:sz w:val="20"/>
          <w:szCs w:val="20"/>
        </w:rPr>
      </w:pPr>
      <w:r w:rsidRPr="00BD1D80">
        <w:rPr>
          <w:sz w:val="20"/>
          <w:szCs w:val="20"/>
        </w:rPr>
        <w:t>Yoshua Bengio, Jérôme Louradour, Ronan Collobert, and Jason Weston. 2009. Curriculum learning. In </w:t>
      </w:r>
      <w:r w:rsidRPr="00BD1D80">
        <w:rPr>
          <w:i/>
          <w:iCs/>
          <w:sz w:val="20"/>
          <w:szCs w:val="20"/>
        </w:rPr>
        <w:t>Proceedings of the 26th International Conference on Machine Learning (ICML)</w:t>
      </w:r>
      <w:r w:rsidRPr="00BD1D80">
        <w:rPr>
          <w:sz w:val="20"/>
          <w:szCs w:val="20"/>
        </w:rPr>
        <w:t>, pages 41–48.</w:t>
      </w:r>
    </w:p>
    <w:p w14:paraId="7572D24A" w14:textId="77777777" w:rsidR="00BD1D80" w:rsidRPr="00BD1D80" w:rsidRDefault="00BD1D80" w:rsidP="00BD1D80">
      <w:pPr>
        <w:pStyle w:val="ACLTextFirstLine"/>
        <w:rPr>
          <w:sz w:val="20"/>
          <w:szCs w:val="20"/>
        </w:rPr>
      </w:pPr>
      <w:r w:rsidRPr="00BD1D80">
        <w:rPr>
          <w:sz w:val="20"/>
          <w:szCs w:val="20"/>
        </w:rPr>
        <w:t xml:space="preserve">Dan Biderman et al. 2024. </w:t>
      </w:r>
      <w:proofErr w:type="spellStart"/>
      <w:r w:rsidRPr="00BD1D80">
        <w:rPr>
          <w:sz w:val="20"/>
          <w:szCs w:val="20"/>
        </w:rPr>
        <w:t>LoRA</w:t>
      </w:r>
      <w:proofErr w:type="spellEnd"/>
      <w:r w:rsidRPr="00BD1D80">
        <w:rPr>
          <w:sz w:val="20"/>
          <w:szCs w:val="20"/>
        </w:rPr>
        <w:t xml:space="preserve"> learns less and forgets less. </w:t>
      </w:r>
      <w:r w:rsidRPr="00BD1D80">
        <w:rPr>
          <w:i/>
          <w:iCs/>
          <w:sz w:val="20"/>
          <w:szCs w:val="20"/>
        </w:rPr>
        <w:t>Transactions on Machine Learning Research</w:t>
      </w:r>
      <w:r w:rsidRPr="00BD1D80">
        <w:rPr>
          <w:sz w:val="20"/>
          <w:szCs w:val="20"/>
        </w:rPr>
        <w:t>.</w:t>
      </w:r>
    </w:p>
    <w:p w14:paraId="50FA656E" w14:textId="77777777" w:rsidR="00BD1D80" w:rsidRPr="00BD1D80" w:rsidRDefault="00BD1D80" w:rsidP="00BD1D80">
      <w:pPr>
        <w:pStyle w:val="ACLTextFirstLine"/>
        <w:rPr>
          <w:sz w:val="20"/>
          <w:szCs w:val="20"/>
        </w:rPr>
      </w:pPr>
      <w:r w:rsidRPr="00BD1D80">
        <w:rPr>
          <w:sz w:val="20"/>
          <w:szCs w:val="20"/>
        </w:rPr>
        <w:t>Daniel Campos. 2021. Curriculum learning for language modeling. </w:t>
      </w:r>
      <w:proofErr w:type="spellStart"/>
      <w:r w:rsidRPr="00BD1D80">
        <w:rPr>
          <w:i/>
          <w:iCs/>
          <w:sz w:val="20"/>
          <w:szCs w:val="20"/>
        </w:rPr>
        <w:t>arXiv</w:t>
      </w:r>
      <w:proofErr w:type="spellEnd"/>
      <w:r w:rsidRPr="00BD1D80">
        <w:rPr>
          <w:i/>
          <w:iCs/>
          <w:sz w:val="20"/>
          <w:szCs w:val="20"/>
        </w:rPr>
        <w:t xml:space="preserve"> preprint arXiv:2108.02170</w:t>
      </w:r>
      <w:r w:rsidRPr="00BD1D80">
        <w:rPr>
          <w:sz w:val="20"/>
          <w:szCs w:val="20"/>
        </w:rPr>
        <w:t>.</w:t>
      </w:r>
    </w:p>
    <w:p w14:paraId="3112133D" w14:textId="77777777" w:rsidR="00BD1D80" w:rsidRPr="00BD1D80" w:rsidRDefault="00BD1D80" w:rsidP="00BD1D80">
      <w:pPr>
        <w:pStyle w:val="ACLTextFirstLine"/>
        <w:rPr>
          <w:sz w:val="20"/>
          <w:szCs w:val="20"/>
        </w:rPr>
      </w:pPr>
      <w:proofErr w:type="spellStart"/>
      <w:r w:rsidRPr="00BD1D80">
        <w:rPr>
          <w:sz w:val="20"/>
          <w:szCs w:val="20"/>
        </w:rPr>
        <w:t>Zeming</w:t>
      </w:r>
      <w:proofErr w:type="spellEnd"/>
      <w:r w:rsidRPr="00BD1D80">
        <w:rPr>
          <w:sz w:val="20"/>
          <w:szCs w:val="20"/>
        </w:rPr>
        <w:t xml:space="preserve"> Chen et al. 2023. MEDITRON-70B: Scaling medical pretraining for large language models. </w:t>
      </w:r>
      <w:proofErr w:type="spellStart"/>
      <w:r w:rsidRPr="00BD1D80">
        <w:rPr>
          <w:i/>
          <w:iCs/>
          <w:sz w:val="20"/>
          <w:szCs w:val="20"/>
        </w:rPr>
        <w:t>arXiv</w:t>
      </w:r>
      <w:proofErr w:type="spellEnd"/>
      <w:r w:rsidRPr="00BD1D80">
        <w:rPr>
          <w:i/>
          <w:iCs/>
          <w:sz w:val="20"/>
          <w:szCs w:val="20"/>
        </w:rPr>
        <w:t xml:space="preserve"> preprint arXiv:2311.16079</w:t>
      </w:r>
      <w:r w:rsidRPr="00BD1D80">
        <w:rPr>
          <w:sz w:val="20"/>
          <w:szCs w:val="20"/>
        </w:rPr>
        <w:t>.</w:t>
      </w:r>
    </w:p>
    <w:p w14:paraId="1D78E2AE" w14:textId="77777777" w:rsidR="00BD1D80" w:rsidRPr="00BD1D80" w:rsidRDefault="00BD1D80" w:rsidP="00BD1D80">
      <w:pPr>
        <w:pStyle w:val="ACLTextFirstLine"/>
        <w:rPr>
          <w:sz w:val="20"/>
          <w:szCs w:val="20"/>
        </w:rPr>
      </w:pPr>
      <w:r w:rsidRPr="00BD1D80">
        <w:rPr>
          <w:sz w:val="20"/>
          <w:szCs w:val="20"/>
        </w:rPr>
        <w:t xml:space="preserve">Tim Dettmers, </w:t>
      </w:r>
      <w:proofErr w:type="spellStart"/>
      <w:r w:rsidRPr="00BD1D80">
        <w:rPr>
          <w:sz w:val="20"/>
          <w:szCs w:val="20"/>
        </w:rPr>
        <w:t>Artidoro</w:t>
      </w:r>
      <w:proofErr w:type="spellEnd"/>
      <w:r w:rsidRPr="00BD1D80">
        <w:rPr>
          <w:sz w:val="20"/>
          <w:szCs w:val="20"/>
        </w:rPr>
        <w:t xml:space="preserve"> Pagnoni, Ari Holtzman, and Luke Zettlemoyer. 2023. </w:t>
      </w:r>
      <w:proofErr w:type="spellStart"/>
      <w:r w:rsidRPr="00BD1D80">
        <w:rPr>
          <w:sz w:val="20"/>
          <w:szCs w:val="20"/>
        </w:rPr>
        <w:t>QLoRA</w:t>
      </w:r>
      <w:proofErr w:type="spellEnd"/>
      <w:r w:rsidRPr="00BD1D80">
        <w:rPr>
          <w:sz w:val="20"/>
          <w:szCs w:val="20"/>
        </w:rPr>
        <w:t>: Efficient finetuning of quantized LLMs. In </w:t>
      </w:r>
      <w:r w:rsidRPr="00BD1D80">
        <w:rPr>
          <w:i/>
          <w:iCs/>
          <w:sz w:val="20"/>
          <w:szCs w:val="20"/>
        </w:rPr>
        <w:t>Advances in Neural Information Processing Systems (</w:t>
      </w:r>
      <w:proofErr w:type="spellStart"/>
      <w:r w:rsidRPr="00BD1D80">
        <w:rPr>
          <w:i/>
          <w:iCs/>
          <w:sz w:val="20"/>
          <w:szCs w:val="20"/>
        </w:rPr>
        <w:t>NeurIPS</w:t>
      </w:r>
      <w:proofErr w:type="spellEnd"/>
      <w:r w:rsidRPr="00BD1D80">
        <w:rPr>
          <w:i/>
          <w:iCs/>
          <w:sz w:val="20"/>
          <w:szCs w:val="20"/>
        </w:rPr>
        <w:t>)</w:t>
      </w:r>
      <w:r w:rsidRPr="00BD1D80">
        <w:rPr>
          <w:sz w:val="20"/>
          <w:szCs w:val="20"/>
        </w:rPr>
        <w:t>.</w:t>
      </w:r>
    </w:p>
    <w:p w14:paraId="419CE6AE" w14:textId="77777777" w:rsidR="00BD1D80" w:rsidRPr="00BD1D80" w:rsidRDefault="00BD1D80" w:rsidP="00BD1D80">
      <w:pPr>
        <w:pStyle w:val="ACLTextFirstLine"/>
        <w:rPr>
          <w:sz w:val="20"/>
          <w:szCs w:val="20"/>
        </w:rPr>
      </w:pPr>
      <w:r w:rsidRPr="00BD1D80">
        <w:rPr>
          <w:sz w:val="20"/>
          <w:szCs w:val="20"/>
        </w:rPr>
        <w:t>Abhimanyu Dubey et al. 2024. The Llama 3 herd of models. </w:t>
      </w:r>
      <w:proofErr w:type="spellStart"/>
      <w:r w:rsidRPr="00BD1D80">
        <w:rPr>
          <w:i/>
          <w:iCs/>
          <w:sz w:val="20"/>
          <w:szCs w:val="20"/>
        </w:rPr>
        <w:t>arXiv</w:t>
      </w:r>
      <w:proofErr w:type="spellEnd"/>
      <w:r w:rsidRPr="00BD1D80">
        <w:rPr>
          <w:i/>
          <w:iCs/>
          <w:sz w:val="20"/>
          <w:szCs w:val="20"/>
        </w:rPr>
        <w:t xml:space="preserve"> preprint arXiv:2407.21783</w:t>
      </w:r>
      <w:r w:rsidRPr="00BD1D80">
        <w:rPr>
          <w:sz w:val="20"/>
          <w:szCs w:val="20"/>
        </w:rPr>
        <w:t>.</w:t>
      </w:r>
    </w:p>
    <w:p w14:paraId="3B4A8744" w14:textId="77777777" w:rsidR="00BD1D80" w:rsidRPr="00BD1D80" w:rsidRDefault="00BD1D80" w:rsidP="00BD1D80">
      <w:pPr>
        <w:pStyle w:val="ACLTextFirstLine"/>
        <w:rPr>
          <w:sz w:val="20"/>
          <w:szCs w:val="20"/>
        </w:rPr>
      </w:pPr>
      <w:r w:rsidRPr="00BD1D80">
        <w:rPr>
          <w:sz w:val="20"/>
          <w:szCs w:val="20"/>
        </w:rPr>
        <w:t xml:space="preserve">Mohamed Amine </w:t>
      </w:r>
      <w:proofErr w:type="spellStart"/>
      <w:r w:rsidRPr="00BD1D80">
        <w:rPr>
          <w:sz w:val="20"/>
          <w:szCs w:val="20"/>
        </w:rPr>
        <w:t>Ferrag</w:t>
      </w:r>
      <w:proofErr w:type="spellEnd"/>
      <w:r w:rsidRPr="00BD1D80">
        <w:rPr>
          <w:sz w:val="20"/>
          <w:szCs w:val="20"/>
        </w:rPr>
        <w:t xml:space="preserve"> et al. 2023. </w:t>
      </w:r>
      <w:proofErr w:type="spellStart"/>
      <w:r w:rsidRPr="00BD1D80">
        <w:rPr>
          <w:sz w:val="20"/>
          <w:szCs w:val="20"/>
        </w:rPr>
        <w:t>SecureFalcon</w:t>
      </w:r>
      <w:proofErr w:type="spellEnd"/>
      <w:r w:rsidRPr="00BD1D80">
        <w:rPr>
          <w:sz w:val="20"/>
          <w:szCs w:val="20"/>
        </w:rPr>
        <w:t>: Are we there yet in automated software vulnerability detection with LLMs? </w:t>
      </w:r>
      <w:r w:rsidRPr="00BD1D80">
        <w:rPr>
          <w:i/>
          <w:iCs/>
          <w:sz w:val="20"/>
          <w:szCs w:val="20"/>
        </w:rPr>
        <w:t>IEEE Transactions on Software Engineering</w:t>
      </w:r>
      <w:r w:rsidRPr="00BD1D80">
        <w:rPr>
          <w:sz w:val="20"/>
          <w:szCs w:val="20"/>
        </w:rPr>
        <w:t>.</w:t>
      </w:r>
    </w:p>
    <w:p w14:paraId="3533FE51" w14:textId="77777777" w:rsidR="00BD1D80" w:rsidRPr="00BD1D80" w:rsidRDefault="00BD1D80" w:rsidP="00BD1D80">
      <w:pPr>
        <w:pStyle w:val="ACLTextFirstLine"/>
        <w:rPr>
          <w:sz w:val="20"/>
          <w:szCs w:val="20"/>
        </w:rPr>
      </w:pPr>
      <w:r w:rsidRPr="00BD1D80">
        <w:rPr>
          <w:sz w:val="20"/>
          <w:szCs w:val="20"/>
        </w:rPr>
        <w:lastRenderedPageBreak/>
        <w:t>Gemma Team, Google DeepMind. 2024. Gemma 2: Improving open language models at a practical size. </w:t>
      </w:r>
      <w:proofErr w:type="spellStart"/>
      <w:r w:rsidRPr="00BD1D80">
        <w:rPr>
          <w:i/>
          <w:iCs/>
          <w:sz w:val="20"/>
          <w:szCs w:val="20"/>
        </w:rPr>
        <w:t>arXiv</w:t>
      </w:r>
      <w:proofErr w:type="spellEnd"/>
      <w:r w:rsidRPr="00BD1D80">
        <w:rPr>
          <w:i/>
          <w:iCs/>
          <w:sz w:val="20"/>
          <w:szCs w:val="20"/>
        </w:rPr>
        <w:t xml:space="preserve"> preprint arXiv:2408.00118</w:t>
      </w:r>
      <w:r w:rsidRPr="00BD1D80">
        <w:rPr>
          <w:sz w:val="20"/>
          <w:szCs w:val="20"/>
        </w:rPr>
        <w:t>.</w:t>
      </w:r>
    </w:p>
    <w:p w14:paraId="26B02F43" w14:textId="77777777" w:rsidR="00BD1D80" w:rsidRPr="00BD1D80" w:rsidRDefault="00BD1D80" w:rsidP="00BD1D80">
      <w:pPr>
        <w:pStyle w:val="ACLTextFirstLine"/>
        <w:rPr>
          <w:sz w:val="20"/>
          <w:szCs w:val="20"/>
        </w:rPr>
      </w:pPr>
      <w:r w:rsidRPr="00BD1D80">
        <w:rPr>
          <w:sz w:val="20"/>
          <w:szCs w:val="20"/>
        </w:rPr>
        <w:t xml:space="preserve">Geoffrey Hinton, Oriol </w:t>
      </w:r>
      <w:proofErr w:type="spellStart"/>
      <w:r w:rsidRPr="00BD1D80">
        <w:rPr>
          <w:sz w:val="20"/>
          <w:szCs w:val="20"/>
        </w:rPr>
        <w:t>Vinyals</w:t>
      </w:r>
      <w:proofErr w:type="spellEnd"/>
      <w:r w:rsidRPr="00BD1D80">
        <w:rPr>
          <w:sz w:val="20"/>
          <w:szCs w:val="20"/>
        </w:rPr>
        <w:t>, and Jeff Dean. 2015. Distilling the knowledge in a neural network. </w:t>
      </w:r>
      <w:proofErr w:type="spellStart"/>
      <w:r w:rsidRPr="00BD1D80">
        <w:rPr>
          <w:i/>
          <w:iCs/>
          <w:sz w:val="20"/>
          <w:szCs w:val="20"/>
        </w:rPr>
        <w:t>arXiv</w:t>
      </w:r>
      <w:proofErr w:type="spellEnd"/>
      <w:r w:rsidRPr="00BD1D80">
        <w:rPr>
          <w:i/>
          <w:iCs/>
          <w:sz w:val="20"/>
          <w:szCs w:val="20"/>
        </w:rPr>
        <w:t xml:space="preserve"> preprint arXiv:1503.02531</w:t>
      </w:r>
      <w:r w:rsidRPr="00BD1D80">
        <w:rPr>
          <w:sz w:val="20"/>
          <w:szCs w:val="20"/>
        </w:rPr>
        <w:t>.</w:t>
      </w:r>
    </w:p>
    <w:p w14:paraId="5011DBE8" w14:textId="77777777" w:rsidR="00BD1D80" w:rsidRPr="00BD1D80" w:rsidRDefault="00BD1D80" w:rsidP="00BD1D80">
      <w:pPr>
        <w:pStyle w:val="ACLTextFirstLine"/>
        <w:rPr>
          <w:sz w:val="20"/>
          <w:szCs w:val="20"/>
        </w:rPr>
      </w:pPr>
      <w:r w:rsidRPr="00BD1D80">
        <w:rPr>
          <w:sz w:val="20"/>
          <w:szCs w:val="20"/>
        </w:rPr>
        <w:t xml:space="preserve">Edward J. Hu, </w:t>
      </w:r>
      <w:proofErr w:type="spellStart"/>
      <w:r w:rsidRPr="00BD1D80">
        <w:rPr>
          <w:sz w:val="20"/>
          <w:szCs w:val="20"/>
        </w:rPr>
        <w:t>Yelong</w:t>
      </w:r>
      <w:proofErr w:type="spellEnd"/>
      <w:r w:rsidRPr="00BD1D80">
        <w:rPr>
          <w:sz w:val="20"/>
          <w:szCs w:val="20"/>
        </w:rPr>
        <w:t xml:space="preserve"> Shen, Phillip Wallis, </w:t>
      </w:r>
      <w:proofErr w:type="spellStart"/>
      <w:r w:rsidRPr="00BD1D80">
        <w:rPr>
          <w:sz w:val="20"/>
          <w:szCs w:val="20"/>
        </w:rPr>
        <w:t>Zeyuan</w:t>
      </w:r>
      <w:proofErr w:type="spellEnd"/>
      <w:r w:rsidRPr="00BD1D80">
        <w:rPr>
          <w:sz w:val="20"/>
          <w:szCs w:val="20"/>
        </w:rPr>
        <w:t xml:space="preserve"> Allen-Zhu, </w:t>
      </w:r>
      <w:proofErr w:type="spellStart"/>
      <w:r w:rsidRPr="00BD1D80">
        <w:rPr>
          <w:sz w:val="20"/>
          <w:szCs w:val="20"/>
        </w:rPr>
        <w:t>Yuanzhi</w:t>
      </w:r>
      <w:proofErr w:type="spellEnd"/>
      <w:r w:rsidRPr="00BD1D80">
        <w:rPr>
          <w:sz w:val="20"/>
          <w:szCs w:val="20"/>
        </w:rPr>
        <w:t xml:space="preserve"> Li, Shean Wang, Lu Wang, and </w:t>
      </w:r>
      <w:proofErr w:type="spellStart"/>
      <w:r w:rsidRPr="00BD1D80">
        <w:rPr>
          <w:sz w:val="20"/>
          <w:szCs w:val="20"/>
        </w:rPr>
        <w:t>Weizhu</w:t>
      </w:r>
      <w:proofErr w:type="spellEnd"/>
      <w:r w:rsidRPr="00BD1D80">
        <w:rPr>
          <w:sz w:val="20"/>
          <w:szCs w:val="20"/>
        </w:rPr>
        <w:t xml:space="preserve"> Chen. 2022. </w:t>
      </w:r>
      <w:proofErr w:type="spellStart"/>
      <w:r w:rsidRPr="00BD1D80">
        <w:rPr>
          <w:sz w:val="20"/>
          <w:szCs w:val="20"/>
        </w:rPr>
        <w:t>LoRA</w:t>
      </w:r>
      <w:proofErr w:type="spellEnd"/>
      <w:r w:rsidRPr="00BD1D80">
        <w:rPr>
          <w:sz w:val="20"/>
          <w:szCs w:val="20"/>
        </w:rPr>
        <w:t>: Low-rank adaptation of large language models. In </w:t>
      </w:r>
      <w:r w:rsidRPr="00BD1D80">
        <w:rPr>
          <w:i/>
          <w:iCs/>
          <w:sz w:val="20"/>
          <w:szCs w:val="20"/>
        </w:rPr>
        <w:t>Proceedings of the International Conference on Learning Representations (ICLR)</w:t>
      </w:r>
      <w:r w:rsidRPr="00BD1D80">
        <w:rPr>
          <w:sz w:val="20"/>
          <w:szCs w:val="20"/>
        </w:rPr>
        <w:t>.</w:t>
      </w:r>
    </w:p>
    <w:p w14:paraId="582E2075" w14:textId="77777777" w:rsidR="00BD1D80" w:rsidRPr="00BD1D80" w:rsidRDefault="00BD1D80" w:rsidP="00BD1D80">
      <w:pPr>
        <w:pStyle w:val="ACLTextFirstLine"/>
        <w:rPr>
          <w:sz w:val="20"/>
          <w:szCs w:val="20"/>
        </w:rPr>
      </w:pPr>
      <w:r w:rsidRPr="00BD1D80">
        <w:rPr>
          <w:sz w:val="20"/>
          <w:szCs w:val="20"/>
        </w:rPr>
        <w:t>Damjan Kalajdzievski. 2024. Scaling laws for forgetting when fine-tuning large language models. </w:t>
      </w:r>
      <w:proofErr w:type="spellStart"/>
      <w:r w:rsidRPr="00BD1D80">
        <w:rPr>
          <w:i/>
          <w:iCs/>
          <w:sz w:val="20"/>
          <w:szCs w:val="20"/>
        </w:rPr>
        <w:t>arXiv</w:t>
      </w:r>
      <w:proofErr w:type="spellEnd"/>
      <w:r w:rsidRPr="00BD1D80">
        <w:rPr>
          <w:i/>
          <w:iCs/>
          <w:sz w:val="20"/>
          <w:szCs w:val="20"/>
        </w:rPr>
        <w:t xml:space="preserve"> preprint arXiv:2401.05605</w:t>
      </w:r>
      <w:r w:rsidRPr="00BD1D80">
        <w:rPr>
          <w:sz w:val="20"/>
          <w:szCs w:val="20"/>
        </w:rPr>
        <w:t>.</w:t>
      </w:r>
    </w:p>
    <w:p w14:paraId="7CA005C9" w14:textId="77777777" w:rsidR="00BD1D80" w:rsidRPr="00BD1D80" w:rsidRDefault="00BD1D80" w:rsidP="00BD1D80">
      <w:pPr>
        <w:pStyle w:val="ACLTextFirstLine"/>
        <w:rPr>
          <w:sz w:val="20"/>
          <w:szCs w:val="20"/>
        </w:rPr>
      </w:pPr>
      <w:r w:rsidRPr="00BD1D80">
        <w:rPr>
          <w:sz w:val="20"/>
          <w:szCs w:val="20"/>
        </w:rPr>
        <w:t>Ilya Loshchilov and Frank Hutter. 2017. SGDR: Stochastic gradient descent with warm restarts. In </w:t>
      </w:r>
      <w:r w:rsidRPr="00BD1D80">
        <w:rPr>
          <w:i/>
          <w:iCs/>
          <w:sz w:val="20"/>
          <w:szCs w:val="20"/>
        </w:rPr>
        <w:t>Proceedings of the International Conference on Learning Representations (ICLR)</w:t>
      </w:r>
      <w:r w:rsidRPr="00BD1D80">
        <w:rPr>
          <w:sz w:val="20"/>
          <w:szCs w:val="20"/>
        </w:rPr>
        <w:t>.</w:t>
      </w:r>
    </w:p>
    <w:p w14:paraId="220AF5B2" w14:textId="77777777" w:rsidR="00BD1D80" w:rsidRPr="00BD1D80" w:rsidRDefault="00BD1D80" w:rsidP="00BD1D80">
      <w:pPr>
        <w:pStyle w:val="ACLTextFirstLine"/>
        <w:rPr>
          <w:sz w:val="20"/>
          <w:szCs w:val="20"/>
        </w:rPr>
      </w:pPr>
      <w:r w:rsidRPr="00BD1D80">
        <w:rPr>
          <w:sz w:val="20"/>
          <w:szCs w:val="20"/>
        </w:rPr>
        <w:t>Ilya Loshchilov and Frank Hutter. 2019. Decoupled weight decay regularization. In </w:t>
      </w:r>
      <w:r w:rsidRPr="00BD1D80">
        <w:rPr>
          <w:i/>
          <w:iCs/>
          <w:sz w:val="20"/>
          <w:szCs w:val="20"/>
        </w:rPr>
        <w:t>Proceedings of the International Conference on Learning Representations (ICLR)</w:t>
      </w:r>
      <w:r w:rsidRPr="00BD1D80">
        <w:rPr>
          <w:sz w:val="20"/>
          <w:szCs w:val="20"/>
        </w:rPr>
        <w:t>.</w:t>
      </w:r>
    </w:p>
    <w:p w14:paraId="198062F1" w14:textId="77777777" w:rsidR="00BD1D80" w:rsidRPr="00BD1D80" w:rsidRDefault="00BD1D80" w:rsidP="00BD1D80">
      <w:pPr>
        <w:pStyle w:val="ACLTextFirstLine"/>
        <w:rPr>
          <w:sz w:val="20"/>
          <w:szCs w:val="20"/>
        </w:rPr>
      </w:pPr>
      <w:r w:rsidRPr="00BD1D80">
        <w:rPr>
          <w:sz w:val="20"/>
          <w:szCs w:val="20"/>
        </w:rPr>
        <w:t>Paulius Micikevicius et al. 2018. Mixed precision training. In </w:t>
      </w:r>
      <w:r w:rsidRPr="00BD1D80">
        <w:rPr>
          <w:i/>
          <w:iCs/>
          <w:sz w:val="20"/>
          <w:szCs w:val="20"/>
        </w:rPr>
        <w:t>Proceedings of the International Conference on Learning Representations (ICLR)</w:t>
      </w:r>
      <w:r w:rsidRPr="00BD1D80">
        <w:rPr>
          <w:sz w:val="20"/>
          <w:szCs w:val="20"/>
        </w:rPr>
        <w:t>.</w:t>
      </w:r>
    </w:p>
    <w:p w14:paraId="6D6070A5" w14:textId="77777777" w:rsidR="00BD1D80" w:rsidRPr="00BD1D80" w:rsidRDefault="00BD1D80" w:rsidP="00BD1D80">
      <w:pPr>
        <w:pStyle w:val="ACLTextFirstLine"/>
        <w:rPr>
          <w:sz w:val="20"/>
          <w:szCs w:val="20"/>
        </w:rPr>
      </w:pPr>
      <w:r w:rsidRPr="00BD1D80">
        <w:rPr>
          <w:sz w:val="20"/>
          <w:szCs w:val="20"/>
        </w:rPr>
        <w:t>OpenAI. 2023. GPT-4 technical report. </w:t>
      </w:r>
      <w:proofErr w:type="spellStart"/>
      <w:r w:rsidRPr="00BD1D80">
        <w:rPr>
          <w:i/>
          <w:iCs/>
          <w:sz w:val="20"/>
          <w:szCs w:val="20"/>
        </w:rPr>
        <w:t>arXiv</w:t>
      </w:r>
      <w:proofErr w:type="spellEnd"/>
      <w:r w:rsidRPr="00BD1D80">
        <w:rPr>
          <w:i/>
          <w:iCs/>
          <w:sz w:val="20"/>
          <w:szCs w:val="20"/>
        </w:rPr>
        <w:t xml:space="preserve"> preprint arXiv:2303.08774</w:t>
      </w:r>
      <w:r w:rsidRPr="00BD1D80">
        <w:rPr>
          <w:sz w:val="20"/>
          <w:szCs w:val="20"/>
        </w:rPr>
        <w:t>.</w:t>
      </w:r>
    </w:p>
    <w:p w14:paraId="27CE5384" w14:textId="77777777" w:rsidR="00BD1D80" w:rsidRPr="00BD1D80" w:rsidRDefault="00BD1D80" w:rsidP="00BD1D80">
      <w:pPr>
        <w:pStyle w:val="ACLTextFirstLine"/>
        <w:rPr>
          <w:sz w:val="20"/>
          <w:szCs w:val="20"/>
        </w:rPr>
      </w:pPr>
      <w:r w:rsidRPr="00BD1D80">
        <w:rPr>
          <w:sz w:val="20"/>
          <w:szCs w:val="20"/>
        </w:rPr>
        <w:t>Long Ouyang et al. 2022. Training language models to follow instructions with human feedback. In </w:t>
      </w:r>
      <w:r w:rsidRPr="00BD1D80">
        <w:rPr>
          <w:i/>
          <w:iCs/>
          <w:sz w:val="20"/>
          <w:szCs w:val="20"/>
        </w:rPr>
        <w:t>Advances in Neural Information Processing Systems (</w:t>
      </w:r>
      <w:proofErr w:type="spellStart"/>
      <w:r w:rsidRPr="00BD1D80">
        <w:rPr>
          <w:i/>
          <w:iCs/>
          <w:sz w:val="20"/>
          <w:szCs w:val="20"/>
        </w:rPr>
        <w:t>NeurIPS</w:t>
      </w:r>
      <w:proofErr w:type="spellEnd"/>
      <w:r w:rsidRPr="00BD1D80">
        <w:rPr>
          <w:i/>
          <w:iCs/>
          <w:sz w:val="20"/>
          <w:szCs w:val="20"/>
        </w:rPr>
        <w:t>)</w:t>
      </w:r>
      <w:r w:rsidRPr="00BD1D80">
        <w:rPr>
          <w:sz w:val="20"/>
          <w:szCs w:val="20"/>
        </w:rPr>
        <w:t>.</w:t>
      </w:r>
    </w:p>
    <w:p w14:paraId="3166C63F" w14:textId="77777777" w:rsidR="00BD1D80" w:rsidRPr="00BD1D80" w:rsidRDefault="00BD1D80" w:rsidP="00BD1D80">
      <w:pPr>
        <w:pStyle w:val="ACLTextFirstLine"/>
        <w:rPr>
          <w:sz w:val="20"/>
          <w:szCs w:val="20"/>
        </w:rPr>
      </w:pPr>
      <w:r w:rsidRPr="00BD1D80">
        <w:rPr>
          <w:sz w:val="20"/>
          <w:szCs w:val="20"/>
        </w:rPr>
        <w:t>Karan Singhal et al. 2023. Towards expert-level medical question answering with large language models. </w:t>
      </w:r>
      <w:proofErr w:type="spellStart"/>
      <w:r w:rsidRPr="00BD1D80">
        <w:rPr>
          <w:i/>
          <w:iCs/>
          <w:sz w:val="20"/>
          <w:szCs w:val="20"/>
        </w:rPr>
        <w:t>arXiv</w:t>
      </w:r>
      <w:proofErr w:type="spellEnd"/>
      <w:r w:rsidRPr="00BD1D80">
        <w:rPr>
          <w:i/>
          <w:iCs/>
          <w:sz w:val="20"/>
          <w:szCs w:val="20"/>
        </w:rPr>
        <w:t xml:space="preserve"> preprint arXiv:2305.09617</w:t>
      </w:r>
      <w:r w:rsidRPr="00BD1D80">
        <w:rPr>
          <w:sz w:val="20"/>
          <w:szCs w:val="20"/>
        </w:rPr>
        <w:t>.</w:t>
      </w:r>
    </w:p>
    <w:p w14:paraId="4ED029D0" w14:textId="77777777" w:rsidR="00BD1D80" w:rsidRPr="00BD1D80" w:rsidRDefault="00BD1D80" w:rsidP="00BD1D80">
      <w:pPr>
        <w:pStyle w:val="ACLTextFirstLine"/>
        <w:rPr>
          <w:sz w:val="20"/>
          <w:szCs w:val="20"/>
        </w:rPr>
      </w:pPr>
      <w:r w:rsidRPr="00BD1D80">
        <w:rPr>
          <w:sz w:val="20"/>
          <w:szCs w:val="20"/>
        </w:rPr>
        <w:t xml:space="preserve">Petru </w:t>
      </w:r>
      <w:proofErr w:type="spellStart"/>
      <w:r w:rsidRPr="00BD1D80">
        <w:rPr>
          <w:sz w:val="20"/>
          <w:szCs w:val="20"/>
        </w:rPr>
        <w:t>Soviany</w:t>
      </w:r>
      <w:proofErr w:type="spellEnd"/>
      <w:r w:rsidRPr="00BD1D80">
        <w:rPr>
          <w:sz w:val="20"/>
          <w:szCs w:val="20"/>
        </w:rPr>
        <w:t>, Radu Tudor Ionescu, Paolo Rota, and Nicu Sebe. 2022. Curriculum learning: A survey. </w:t>
      </w:r>
      <w:r w:rsidRPr="00BD1D80">
        <w:rPr>
          <w:i/>
          <w:iCs/>
          <w:sz w:val="20"/>
          <w:szCs w:val="20"/>
        </w:rPr>
        <w:t>International Journal of Computer Vision</w:t>
      </w:r>
      <w:r w:rsidRPr="00BD1D80">
        <w:rPr>
          <w:sz w:val="20"/>
          <w:szCs w:val="20"/>
        </w:rPr>
        <w:t>, 130:1526–1565.</w:t>
      </w:r>
    </w:p>
    <w:p w14:paraId="22E102FB" w14:textId="77777777" w:rsidR="00BD1D80" w:rsidRPr="00BD1D80" w:rsidRDefault="00BD1D80" w:rsidP="00BD1D80">
      <w:pPr>
        <w:pStyle w:val="ACLTextFirstLine"/>
        <w:rPr>
          <w:sz w:val="20"/>
          <w:szCs w:val="20"/>
        </w:rPr>
      </w:pPr>
      <w:r w:rsidRPr="00BD1D80">
        <w:rPr>
          <w:sz w:val="20"/>
          <w:szCs w:val="20"/>
        </w:rPr>
        <w:t xml:space="preserve">Rohan Taori, Ishaan Gulrajani, Tianyi Zhang, Yann Dubois, </w:t>
      </w:r>
      <w:proofErr w:type="spellStart"/>
      <w:r w:rsidRPr="00BD1D80">
        <w:rPr>
          <w:sz w:val="20"/>
          <w:szCs w:val="20"/>
        </w:rPr>
        <w:t>Xuechen</w:t>
      </w:r>
      <w:proofErr w:type="spellEnd"/>
      <w:r w:rsidRPr="00BD1D80">
        <w:rPr>
          <w:sz w:val="20"/>
          <w:szCs w:val="20"/>
        </w:rPr>
        <w:t xml:space="preserve"> Li, Carlos Guestrin, Percy Liang, and </w:t>
      </w:r>
      <w:proofErr w:type="spellStart"/>
      <w:r w:rsidRPr="00BD1D80">
        <w:rPr>
          <w:sz w:val="20"/>
          <w:szCs w:val="20"/>
        </w:rPr>
        <w:t>Tatsunori</w:t>
      </w:r>
      <w:proofErr w:type="spellEnd"/>
      <w:r w:rsidRPr="00BD1D80">
        <w:rPr>
          <w:sz w:val="20"/>
          <w:szCs w:val="20"/>
        </w:rPr>
        <w:t xml:space="preserve"> B. Hashimoto. 2023. Stanford Alpaca: An instruction-following </w:t>
      </w:r>
      <w:proofErr w:type="spellStart"/>
      <w:r w:rsidRPr="00BD1D80">
        <w:rPr>
          <w:sz w:val="20"/>
          <w:szCs w:val="20"/>
        </w:rPr>
        <w:t>LLaMA</w:t>
      </w:r>
      <w:proofErr w:type="spellEnd"/>
      <w:r w:rsidRPr="00BD1D80">
        <w:rPr>
          <w:sz w:val="20"/>
          <w:szCs w:val="20"/>
        </w:rPr>
        <w:t xml:space="preserve"> model. GitHub repository. </w:t>
      </w:r>
      <w:hyperlink r:id="rId11" w:history="1">
        <w:r w:rsidRPr="00BD1D80">
          <w:rPr>
            <w:rStyle w:val="Hyperlink"/>
            <w:sz w:val="20"/>
            <w:szCs w:val="20"/>
          </w:rPr>
          <w:t>https://github.com/tatsu-lab/stanford_alpaca</w:t>
        </w:r>
      </w:hyperlink>
      <w:r w:rsidRPr="00BD1D80">
        <w:rPr>
          <w:sz w:val="20"/>
          <w:szCs w:val="20"/>
        </w:rPr>
        <w:t>.</w:t>
      </w:r>
    </w:p>
    <w:p w14:paraId="2D3C18AC" w14:textId="77777777" w:rsidR="00BD1D80" w:rsidRPr="00BD1D80" w:rsidRDefault="00BD1D80" w:rsidP="00BD1D80">
      <w:pPr>
        <w:pStyle w:val="ACLTextFirstLine"/>
        <w:rPr>
          <w:sz w:val="20"/>
          <w:szCs w:val="20"/>
        </w:rPr>
      </w:pPr>
      <w:r w:rsidRPr="00BD1D80">
        <w:rPr>
          <w:sz w:val="20"/>
          <w:szCs w:val="20"/>
        </w:rPr>
        <w:t xml:space="preserve">Norbert Tihanyi, Mohamed Amine </w:t>
      </w:r>
      <w:proofErr w:type="spellStart"/>
      <w:r w:rsidRPr="00BD1D80">
        <w:rPr>
          <w:sz w:val="20"/>
          <w:szCs w:val="20"/>
        </w:rPr>
        <w:t>Ferrag</w:t>
      </w:r>
      <w:proofErr w:type="spellEnd"/>
      <w:r w:rsidRPr="00BD1D80">
        <w:rPr>
          <w:sz w:val="20"/>
          <w:szCs w:val="20"/>
        </w:rPr>
        <w:t xml:space="preserve">, Ridhi Jain, Tamas </w:t>
      </w:r>
      <w:proofErr w:type="spellStart"/>
      <w:r w:rsidRPr="00BD1D80">
        <w:rPr>
          <w:sz w:val="20"/>
          <w:szCs w:val="20"/>
        </w:rPr>
        <w:t>Bisztray</w:t>
      </w:r>
      <w:proofErr w:type="spellEnd"/>
      <w:r w:rsidRPr="00BD1D80">
        <w:rPr>
          <w:sz w:val="20"/>
          <w:szCs w:val="20"/>
        </w:rPr>
        <w:t xml:space="preserve">, and Merouane Debbah. 2024. </w:t>
      </w:r>
      <w:proofErr w:type="spellStart"/>
      <w:r w:rsidRPr="00BD1D80">
        <w:rPr>
          <w:sz w:val="20"/>
          <w:szCs w:val="20"/>
        </w:rPr>
        <w:t>CyberMetric</w:t>
      </w:r>
      <w:proofErr w:type="spellEnd"/>
      <w:r w:rsidRPr="00BD1D80">
        <w:rPr>
          <w:sz w:val="20"/>
          <w:szCs w:val="20"/>
        </w:rPr>
        <w:t>: A benchmark dataset based on retrieval-augmented generation for evaluating LLMs in cybersecurity knowledge. </w:t>
      </w:r>
      <w:proofErr w:type="spellStart"/>
      <w:r w:rsidRPr="00BD1D80">
        <w:rPr>
          <w:i/>
          <w:iCs/>
          <w:sz w:val="20"/>
          <w:szCs w:val="20"/>
        </w:rPr>
        <w:t>arXiv</w:t>
      </w:r>
      <w:proofErr w:type="spellEnd"/>
      <w:r w:rsidRPr="00BD1D80">
        <w:rPr>
          <w:i/>
          <w:iCs/>
          <w:sz w:val="20"/>
          <w:szCs w:val="20"/>
        </w:rPr>
        <w:t xml:space="preserve"> preprint arXiv:2402.07688</w:t>
      </w:r>
      <w:r w:rsidRPr="00BD1D80">
        <w:rPr>
          <w:sz w:val="20"/>
          <w:szCs w:val="20"/>
        </w:rPr>
        <w:t>.</w:t>
      </w:r>
    </w:p>
    <w:p w14:paraId="758B4EE1" w14:textId="77777777" w:rsidR="00BD1D80" w:rsidRPr="00BD1D80" w:rsidRDefault="00BD1D80" w:rsidP="00BD1D80">
      <w:pPr>
        <w:pStyle w:val="ACLTextFirstLine"/>
        <w:rPr>
          <w:sz w:val="20"/>
          <w:szCs w:val="20"/>
        </w:rPr>
      </w:pPr>
      <w:r w:rsidRPr="00BD1D80">
        <w:rPr>
          <w:sz w:val="20"/>
          <w:szCs w:val="20"/>
        </w:rPr>
        <w:t xml:space="preserve">Xin Wang, </w:t>
      </w:r>
      <w:proofErr w:type="spellStart"/>
      <w:r w:rsidRPr="00BD1D80">
        <w:rPr>
          <w:sz w:val="20"/>
          <w:szCs w:val="20"/>
        </w:rPr>
        <w:t>Yudong</w:t>
      </w:r>
      <w:proofErr w:type="spellEnd"/>
      <w:r w:rsidRPr="00BD1D80">
        <w:rPr>
          <w:sz w:val="20"/>
          <w:szCs w:val="20"/>
        </w:rPr>
        <w:t xml:space="preserve"> Chen, and Wenwu Zhu. 2021. A survey on curriculum learning. </w:t>
      </w:r>
      <w:r w:rsidRPr="00BD1D80">
        <w:rPr>
          <w:i/>
          <w:iCs/>
          <w:sz w:val="20"/>
          <w:szCs w:val="20"/>
        </w:rPr>
        <w:t>IEEE Transactions on Pattern Analysis and Machine Intelligence</w:t>
      </w:r>
      <w:r w:rsidRPr="00BD1D80">
        <w:rPr>
          <w:sz w:val="20"/>
          <w:szCs w:val="20"/>
        </w:rPr>
        <w:t>, 44(9):4555–4576.</w:t>
      </w:r>
    </w:p>
    <w:p w14:paraId="7C5E0A1E" w14:textId="77777777" w:rsidR="00BD1D80" w:rsidRPr="00BD1D80" w:rsidRDefault="00BD1D80" w:rsidP="00BD1D80">
      <w:pPr>
        <w:pStyle w:val="ACLTextFirstLine"/>
        <w:rPr>
          <w:sz w:val="20"/>
          <w:szCs w:val="20"/>
        </w:rPr>
      </w:pPr>
      <w:r w:rsidRPr="00BD1D80">
        <w:rPr>
          <w:sz w:val="20"/>
          <w:szCs w:val="20"/>
        </w:rPr>
        <w:t>Xiaoxia Wu, Ethan Dyer, and Behnam Neyshabur. 2021. When do curricula work? In </w:t>
      </w:r>
      <w:r w:rsidRPr="00BD1D80">
        <w:rPr>
          <w:i/>
          <w:iCs/>
          <w:sz w:val="20"/>
          <w:szCs w:val="20"/>
        </w:rPr>
        <w:t>Proceedings of the International Conference on Learning Representations (ICLR)</w:t>
      </w:r>
      <w:r w:rsidRPr="00BD1D80">
        <w:rPr>
          <w:sz w:val="20"/>
          <w:szCs w:val="20"/>
        </w:rPr>
        <w:t>.</w:t>
      </w:r>
    </w:p>
    <w:p w14:paraId="711FCA13" w14:textId="2EFE42DA" w:rsidR="00490093" w:rsidRPr="00BD1D80" w:rsidRDefault="00BD1D80" w:rsidP="00BD1D80">
      <w:pPr>
        <w:pStyle w:val="ACLTextFirstLine"/>
        <w:rPr>
          <w:sz w:val="20"/>
          <w:szCs w:val="20"/>
        </w:rPr>
      </w:pPr>
      <w:proofErr w:type="spellStart"/>
      <w:r w:rsidRPr="00BD1D80">
        <w:rPr>
          <w:sz w:val="20"/>
          <w:szCs w:val="20"/>
        </w:rPr>
        <w:t>Canwen</w:t>
      </w:r>
      <w:proofErr w:type="spellEnd"/>
      <w:r w:rsidRPr="00BD1D80">
        <w:rPr>
          <w:sz w:val="20"/>
          <w:szCs w:val="20"/>
        </w:rPr>
        <w:t xml:space="preserve"> Xu et al. 2024. Automatic pair construction for contrastive post-training. In </w:t>
      </w:r>
      <w:r w:rsidRPr="00BD1D80">
        <w:rPr>
          <w:i/>
          <w:iCs/>
          <w:sz w:val="20"/>
          <w:szCs w:val="20"/>
        </w:rPr>
        <w:t>Findings of the 2024 Conference of the North American Chapter of the Association for Computational Linguistics (NAACL)</w:t>
      </w:r>
      <w:r w:rsidRPr="00BD1D80">
        <w:rPr>
          <w:sz w:val="20"/>
          <w:szCs w:val="20"/>
        </w:rPr>
        <w:t>.</w:t>
      </w:r>
      <w:bookmarkEnd w:id="1"/>
      <w:bookmarkEnd w:id="2"/>
      <w:r w:rsidR="00490093">
        <w:rPr>
          <w:noProof/>
          <w:lang w:eastAsia="en-US"/>
        </w:rPr>
        <mc:AlternateContent>
          <mc:Choice Requires="wps">
            <w:drawing>
              <wp:anchor distT="0" distB="0" distL="114300" distR="114300" simplePos="0" relativeHeight="251667456" behindDoc="1" locked="0" layoutInCell="1" allowOverlap="1" wp14:anchorId="1590DA84" wp14:editId="711BC734">
                <wp:simplePos x="0" y="0"/>
                <wp:positionH relativeFrom="margin">
                  <wp:posOffset>6305550</wp:posOffset>
                </wp:positionH>
                <wp:positionV relativeFrom="margin">
                  <wp:posOffset>-162560</wp:posOffset>
                </wp:positionV>
                <wp:extent cx="495300" cy="9144000"/>
                <wp:effectExtent l="0" t="0" r="0" b="0"/>
                <wp:wrapNone/>
                <wp:docPr id="20" name="Text Box 20"/>
                <wp:cNvGraphicFramePr/>
                <a:graphic xmlns:a="http://schemas.openxmlformats.org/drawingml/2006/main">
                  <a:graphicData uri="http://schemas.microsoft.com/office/word/2010/wordprocessingShape">
                    <wps:wsp>
                      <wps:cNvSpPr txBox="1"/>
                      <wps:spPr>
                        <a:xfrm>
                          <a:off x="0" y="0"/>
                          <a:ext cx="495300" cy="91440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xmlns:pic="http://schemas.openxmlformats.org/drawingml/2006/picture"/>
                          </a:ext>
                        </a:extLst>
                      </wps:spPr>
                      <wps:style>
                        <a:lnRef idx="0">
                          <a:schemeClr val="accent1"/>
                        </a:lnRef>
                        <a:fillRef idx="0">
                          <a:schemeClr val="accent1"/>
                        </a:fillRef>
                        <a:effectRef idx="0">
                          <a:schemeClr val="accent1"/>
                        </a:effectRef>
                        <a:fontRef idx="minor">
                          <a:schemeClr val="dk1"/>
                        </a:fontRef>
                      </wps:style>
                      <wps:txbx>
                        <w:txbxContent>
                          <w:p w14:paraId="1F3B1409" w14:textId="77777777" w:rsidR="00E22946" w:rsidRDefault="00E22946" w:rsidP="00490093">
                            <w:pPr>
                              <w:pStyle w:val="ACLRulerLef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590DA84" id="_x0000_t202" coordsize="21600,21600" o:spt="202" path="m,l,21600r21600,l21600,xe">
                <v:stroke joinstyle="miter"/>
                <v:path gradientshapeok="t" o:connecttype="rect"/>
              </v:shapetype>
              <v:shape id="Text Box 20" o:spid="_x0000_s1026" type="#_x0000_t202" style="position:absolute;left:0;text-align:left;margin-left:496.5pt;margin-top:-12.8pt;width:39pt;height:10in;z-index:-25164902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guYbXQIAADQFAAAOAAAAZHJzL2Uyb0RvYy54bWysVEtvEzEQviPxHyzfySYhBRplU4VUQUhV&#13;&#10;W5Ginh2vnazweow9yW749R17Nw8ClyIu9njej288uWkqw3bKhxJszge9PmfKSihKu87596fFu0+c&#13;&#10;BRS2EAasyvleBX4zfftmUruxGsIGTKE8Iyc2jGuX8w2iG2dZkBtVidADpywJNfhKID39Oiu8qMl7&#13;&#10;ZbJhv/8hq8EXzoNUIRD3thXyafKvtZL4oHVQyEzOKTdMp0/nKp7ZdCLGay/cppRdGuIfsqhEaSno&#13;&#10;0dWtQMG2vvzDVVVKDwE09iRUGWhdSpVqoGoG/YtqlhvhVKqFmhPcsU3h/7mV97ule/QMm8/Q0ABj&#13;&#10;Q2oXxoGYsZ5G+yrelCkjObVwf2ybapBJYo6ur973SSJJdD0Yjfr0IDfZydr5gF8UVCwSOfc0ltQt&#13;&#10;sbsL2KoeVGIwC4vSmDQaY39jkM+Wo9JsO+tTwonCvVHRythvSrOySHlHRkKVmhvPdoLwIKRUFlPJ&#13;&#10;yS9pRy1NsV9j2OlH0zar1xgfLVJksHg0rkoLPnXpIu3ixyFl3epTq8/qjiQ2q6Yb5AqKPc3XQwv9&#13;&#10;4OSipCHciYCPwhPWaXC0v/hAhzZQ5xw6irMN+F9/40d9giBJOatpd3Iefm6FV5yZr5bAmUBAy5Ye&#13;&#10;o6uPQ4rhzyWrc4ndVnOgcQzop3AykVEfzYHUHqpnWvNZjEoiYSXFzjkeyDm2G03fhFSzWVKi9XIC&#13;&#10;7+zSyeg6tjdC7Kl5Ft51OERC8D0ctkyML+DY6kZLC7Mtgi4TVmOD2652jafVTGjvvpG4++fvpHX6&#13;&#10;7KYvAAAA//8DAFBLAwQUAAYACAAAACEADcyfeOQAAAASAQAADwAAAGRycy9kb3ducmV2LnhtbEyP&#13;&#10;y07DMBBF90j8gzVI7Fo7JS0kjVMhKraglofEzo2nSUQ8jmK3CX/PdAWb0Tzv3FNsJteJMw6h9aQh&#13;&#10;mSsQSJW3LdUa3t+eZw8gQjRkTecJNfxggE15fVWY3PqRdnjex1qwCIXcaGhi7HMpQ9WgM2HueySe&#13;&#10;Hf3gTORyqKUdzMjirpMLpVbSmZb4Q2N6fGqw+t6fnIaPl+PXZ6pe661b9qOflCSXSa1vb6btmsPj&#13;&#10;GkTEKf5dwIWB/UPJxg7+RDaITkOW3TFQ1DBbLFcgLhvqPuHWgbM0SVOQZSH/o5S/AAAA//8DAFBL&#13;&#10;AQItABQABgAIAAAAIQC2gziS/gAAAOEBAAATAAAAAAAAAAAAAAAAAAAAAABbQ29udGVudF9UeXBl&#13;&#10;c10ueG1sUEsBAi0AFAAGAAgAAAAhADj9If/WAAAAlAEAAAsAAAAAAAAAAAAAAAAALwEAAF9yZWxz&#13;&#10;Ly5yZWxzUEsBAi0AFAAGAAgAAAAhAOqC5htdAgAANAUAAA4AAAAAAAAAAAAAAAAALgIAAGRycy9l&#13;&#10;Mm9Eb2MueG1sUEsBAi0AFAAGAAgAAAAhAA3Mn3jkAAAAEgEAAA8AAAAAAAAAAAAAAAAAtwQAAGRy&#13;&#10;cy9kb3ducmV2LnhtbFBLBQYAAAAABAAEAPMAAADIBQAAAAA=&#13;&#10;" filled="f" stroked="f">
                <v:textbox>
                  <w:txbxContent>
                    <w:p w14:paraId="1F3B1409" w14:textId="77777777" w:rsidR="00E22946" w:rsidRDefault="00E22946" w:rsidP="00490093">
                      <w:pPr>
                        <w:pStyle w:val="ACLRulerLeft"/>
                      </w:pPr>
                    </w:p>
                  </w:txbxContent>
                </v:textbox>
                <w10:wrap anchorx="margin" anchory="margin"/>
              </v:shape>
            </w:pict>
          </mc:Fallback>
        </mc:AlternateContent>
      </w:r>
    </w:p>
    <w:sectPr w:rsidR="00490093" w:rsidRPr="00BD1D80" w:rsidSect="00443F5E">
      <w:headerReference w:type="even" r:id="rId12"/>
      <w:headerReference w:type="default" r:id="rId13"/>
      <w:footerReference w:type="even" r:id="rId14"/>
      <w:footerReference w:type="default" r:id="rId15"/>
      <w:headerReference w:type="first" r:id="rId16"/>
      <w:footerReference w:type="first" r:id="rId17"/>
      <w:pgSz w:w="11906" w:h="16838" w:code="9"/>
      <w:pgMar w:top="1411" w:right="1411" w:bottom="1411" w:left="1411" w:header="0" w:footer="144" w:gutter="0"/>
      <w:cols w:num="2" w:space="34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E6727E" w14:textId="77777777" w:rsidR="00296696" w:rsidRDefault="00296696" w:rsidP="00667A63">
      <w:r>
        <w:separator/>
      </w:r>
    </w:p>
    <w:p w14:paraId="19C34E73" w14:textId="77777777" w:rsidR="00296696" w:rsidRDefault="00296696"/>
  </w:endnote>
  <w:endnote w:type="continuationSeparator" w:id="0">
    <w:p w14:paraId="07DC6C8F" w14:textId="77777777" w:rsidR="00296696" w:rsidRDefault="00296696" w:rsidP="00667A63">
      <w:r>
        <w:continuationSeparator/>
      </w:r>
    </w:p>
    <w:p w14:paraId="2E3D5E2D" w14:textId="77777777" w:rsidR="00296696" w:rsidRDefault="00296696"/>
    <w:p w14:paraId="0352AEFB" w14:textId="77777777" w:rsidR="00296696" w:rsidRDefault="00296696">
      <w:r>
        <w:t>ACL 2020 Submission ***. Confidential review Copy. DO NOT DISTRIBUTE.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Bold">
    <w:altName w:val="Arial"/>
    <w:panose1 w:val="020B0604020202020204"/>
    <w:charset w:val="00"/>
    <w:family w:val="auto"/>
    <w:pitch w:val="variable"/>
    <w:sig w:usb0="00000000"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54159" w14:textId="36526072" w:rsidR="00EA1AC3" w:rsidRDefault="00EA1AC3">
    <w:pPr>
      <w:pStyle w:val="Footer"/>
    </w:pPr>
    <w:r>
      <w:rPr>
        <w:noProof/>
      </w:rPr>
      <mc:AlternateContent>
        <mc:Choice Requires="wps">
          <w:drawing>
            <wp:anchor distT="0" distB="0" distL="0" distR="0" simplePos="0" relativeHeight="251659264" behindDoc="0" locked="0" layoutInCell="1" allowOverlap="1" wp14:anchorId="114AC883" wp14:editId="3C0DFCC8">
              <wp:simplePos x="635" y="635"/>
              <wp:positionH relativeFrom="page">
                <wp:align>right</wp:align>
              </wp:positionH>
              <wp:positionV relativeFrom="page">
                <wp:align>bottom</wp:align>
              </wp:positionV>
              <wp:extent cx="1069340" cy="324485"/>
              <wp:effectExtent l="0" t="0" r="0" b="0"/>
              <wp:wrapNone/>
              <wp:docPr id="812196965" name="Text Box 4" descr="Cisco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69340" cy="324485"/>
                      </a:xfrm>
                      <a:prstGeom prst="rect">
                        <a:avLst/>
                      </a:prstGeom>
                      <a:noFill/>
                      <a:ln>
                        <a:noFill/>
                      </a:ln>
                    </wps:spPr>
                    <wps:txbx>
                      <w:txbxContent>
                        <w:p w14:paraId="544CDDB2" w14:textId="23E1D26D" w:rsidR="00EA1AC3" w:rsidRPr="00EA1AC3" w:rsidRDefault="00EA1AC3" w:rsidP="00EA1AC3">
                          <w:pPr>
                            <w:rPr>
                              <w:rFonts w:ascii="Aptos" w:eastAsia="Aptos" w:hAnsi="Aptos" w:cs="Aptos"/>
                              <w:noProof/>
                              <w:color w:val="000000"/>
                              <w:sz w:val="16"/>
                              <w:szCs w:val="16"/>
                            </w:rPr>
                          </w:pPr>
                          <w:r w:rsidRPr="00EA1AC3">
                            <w:rPr>
                              <w:rFonts w:ascii="Aptos" w:eastAsia="Aptos" w:hAnsi="Aptos" w:cs="Aptos"/>
                              <w:noProof/>
                              <w:color w:val="000000"/>
                              <w:sz w:val="16"/>
                              <w:szCs w:val="16"/>
                            </w:rPr>
                            <w:t>Cisco Confidential</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114AC883" id="_x0000_t202" coordsize="21600,21600" o:spt="202" path="m,l,21600r21600,l21600,xe">
              <v:stroke joinstyle="miter"/>
              <v:path gradientshapeok="t" o:connecttype="rect"/>
            </v:shapetype>
            <v:shape id="Text Box 4" o:spid="_x0000_s1027" type="#_x0000_t202" alt="Cisco Confidential" style="position:absolute;margin-left:33pt;margin-top:0;width:84.2pt;height:25.55pt;z-index:251659264;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EGt+DwIAABsEAAAOAAAAZHJzL2Uyb0RvYy54bWysU8Fu2zAMvQ/YPwi6L3bSpGiNOEXWIsOA&#13;&#10;oC2QDj0rshQbkERBUmJnXz9KdpKu7WnYRaZI+pF8fJrfdVqRg3C+AVPS8SinRBgOVWN2Jf31svp2&#13;&#10;Q4kPzFRMgRElPQpP7xZfv8xbW4gJ1KAq4QiCGF+0tqR1CLbIMs9roZkfgRUGgxKcZgGvbpdVjrWI&#13;&#10;rlU2yfPrrAVXWQdceI/ehz5IFwlfSsHDk5ReBKJKir2FdLp0buOZLeas2Dlm64YPbbB/6EKzxmDR&#13;&#10;M9QDC4zsXfMBSjfcgQcZRhx0BlI2XKQZcJpx/m6aTc2sSLMgOd6eafL/D5Y/Hjb22ZHQfYcOFxgJ&#13;&#10;aa0vPDrjPJ10On6xU4JxpPB4pk10gfD4U359ezXFEMfY1WQ6vZlFmOzyt3U+/BCgSTRK6nAtiS12&#13;&#10;WPvQp55SYjEDq0aptBpl/nIgZvRklxajFbptN/S9heqI4zjoN+0tXzVYc818eGYOV4ttolzDEx5S&#13;&#10;QVtSGCxKanC/P/PHfGQco5S0KJWSGtQyJeqnwU1EVZ0Ml4zJbJrn6N6m2/g2n8Wb2et7QBWO8UFY&#13;&#10;nkz0uqBOpnSgX1HNy1gNQ8xwrFnS7cm8D71w8TVwsVymJFSRZWFtNpZH6EhWZPKle2XODnQHXNQj&#13;&#10;nMTEines97nxT2+X+4Dcp5VEYns2B75RgWmpw2uJEn97T1mXN734AwAA//8DAFBLAwQUAAYACAAA&#13;&#10;ACEAcf3Kot8AAAAJAQAADwAAAGRycy9kb3ducmV2LnhtbEyPUUvDMBSF3wX/Q7iCL7KllRlG13To&#13;&#10;xAdBBk6Zr2lzbcuSm5JkXffvzXzRlwOXwzn3fOV6soaN6EPvSEI+z4AhNU731Er4/HiZLYGFqEgr&#13;&#10;4wglnDHAurq+KlWh3YnecdzFlqUSCoWS0MU4FJyHpkOrwtwNSMn7dt6qmE7fcu3VKZVbw++zTHCr&#13;&#10;ekofOjXgpsPmsDtaCU93YV+/Hfz5dbtw4mvcCDNshZS3N9PzKsnjCljEKf4l4MKQ9kOVhtXuSDow&#13;&#10;IyHRxF+9eGK5AFZLeMhz4FXJ/xNUPwAAAP//AwBQSwECLQAUAAYACAAAACEAtoM4kv4AAADhAQAA&#13;&#10;EwAAAAAAAAAAAAAAAAAAAAAAW0NvbnRlbnRfVHlwZXNdLnhtbFBLAQItABQABgAIAAAAIQA4/SH/&#13;&#10;1gAAAJQBAAALAAAAAAAAAAAAAAAAAC8BAABfcmVscy8ucmVsc1BLAQItABQABgAIAAAAIQDWEGt+&#13;&#10;DwIAABsEAAAOAAAAAAAAAAAAAAAAAC4CAABkcnMvZTJvRG9jLnhtbFBLAQItABQABgAIAAAAIQBx&#13;&#10;/cqi3wAAAAkBAAAPAAAAAAAAAAAAAAAAAGkEAABkcnMvZG93bnJldi54bWxQSwUGAAAAAAQABADz&#13;&#10;AAAAdQUAAAAA&#13;&#10;" filled="f" stroked="f">
              <v:textbox style="mso-fit-shape-to-text:t" inset="0,0,20pt,15pt">
                <w:txbxContent>
                  <w:p w14:paraId="544CDDB2" w14:textId="23E1D26D" w:rsidR="00EA1AC3" w:rsidRPr="00EA1AC3" w:rsidRDefault="00EA1AC3" w:rsidP="00EA1AC3">
                    <w:pPr>
                      <w:rPr>
                        <w:rFonts w:ascii="Aptos" w:eastAsia="Aptos" w:hAnsi="Aptos" w:cs="Aptos"/>
                        <w:noProof/>
                        <w:color w:val="000000"/>
                        <w:sz w:val="16"/>
                        <w:szCs w:val="16"/>
                      </w:rPr>
                    </w:pPr>
                    <w:r w:rsidRPr="00EA1AC3">
                      <w:rPr>
                        <w:rFonts w:ascii="Aptos" w:eastAsia="Aptos" w:hAnsi="Aptos" w:cs="Aptos"/>
                        <w:noProof/>
                        <w:color w:val="000000"/>
                        <w:sz w:val="16"/>
                        <w:szCs w:val="16"/>
                      </w:rPr>
                      <w:t>Cisco Confidential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C428A" w14:textId="00E3F7E4" w:rsidR="00E22946" w:rsidRPr="002401E1" w:rsidRDefault="00E22946">
    <w:pPr>
      <w:pStyle w:val="Footer"/>
      <w:jc w:val="center"/>
    </w:pPr>
  </w:p>
  <w:p w14:paraId="664355AD" w14:textId="77777777" w:rsidR="00E22946" w:rsidRDefault="00E22946">
    <w:pPr>
      <w:pStyle w:val="Footer"/>
    </w:pPr>
  </w:p>
  <w:p w14:paraId="33ACD4B3" w14:textId="77777777" w:rsidR="00E22946" w:rsidRDefault="00E22946"/>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802B4" w14:textId="448BF1DC" w:rsidR="00EA1AC3" w:rsidRDefault="00EA1AC3">
    <w:pPr>
      <w:pStyle w:val="Footer"/>
    </w:pPr>
    <w:r>
      <w:rPr>
        <w:noProof/>
      </w:rPr>
      <mc:AlternateContent>
        <mc:Choice Requires="wps">
          <w:drawing>
            <wp:anchor distT="0" distB="0" distL="0" distR="0" simplePos="0" relativeHeight="251658240" behindDoc="0" locked="0" layoutInCell="1" allowOverlap="1" wp14:anchorId="47CA69A0" wp14:editId="469E8307">
              <wp:simplePos x="635" y="635"/>
              <wp:positionH relativeFrom="page">
                <wp:align>right</wp:align>
              </wp:positionH>
              <wp:positionV relativeFrom="page">
                <wp:align>bottom</wp:align>
              </wp:positionV>
              <wp:extent cx="1069340" cy="324485"/>
              <wp:effectExtent l="0" t="0" r="0" b="0"/>
              <wp:wrapNone/>
              <wp:docPr id="1812248280" name="Text Box 3" descr="Cisco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69340" cy="324485"/>
                      </a:xfrm>
                      <a:prstGeom prst="rect">
                        <a:avLst/>
                      </a:prstGeom>
                      <a:noFill/>
                      <a:ln>
                        <a:noFill/>
                      </a:ln>
                    </wps:spPr>
                    <wps:txbx>
                      <w:txbxContent>
                        <w:p w14:paraId="741BDACF" w14:textId="6BA61D66" w:rsidR="00EA1AC3" w:rsidRPr="00EA1AC3" w:rsidRDefault="00EA1AC3" w:rsidP="00EA1AC3">
                          <w:pPr>
                            <w:rPr>
                              <w:rFonts w:ascii="Aptos" w:eastAsia="Aptos" w:hAnsi="Aptos" w:cs="Aptos"/>
                              <w:noProof/>
                              <w:color w:val="000000"/>
                              <w:sz w:val="16"/>
                              <w:szCs w:val="16"/>
                            </w:rPr>
                          </w:pPr>
                          <w:r w:rsidRPr="00EA1AC3">
                            <w:rPr>
                              <w:rFonts w:ascii="Aptos" w:eastAsia="Aptos" w:hAnsi="Aptos" w:cs="Aptos"/>
                              <w:noProof/>
                              <w:color w:val="000000"/>
                              <w:sz w:val="16"/>
                              <w:szCs w:val="16"/>
                            </w:rPr>
                            <w:t>Cisco Confidential</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47CA69A0" id="_x0000_t202" coordsize="21600,21600" o:spt="202" path="m,l,21600r21600,l21600,xe">
              <v:stroke joinstyle="miter"/>
              <v:path gradientshapeok="t" o:connecttype="rect"/>
            </v:shapetype>
            <v:shape id="Text Box 3" o:spid="_x0000_s1028" type="#_x0000_t202" alt="Cisco Confidential" style="position:absolute;margin-left:33pt;margin-top:0;width:84.2pt;height:25.55pt;z-index:251658240;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ryXtEgIAACIEAAAOAAAAZHJzL2Uyb0RvYy54bWysU01v2zAMvQ/YfxB0X+ykSdEacYqsRYYB&#13;&#10;QVsgHXpWZCk2YIkCpcTOfv0oOUm7bqdhF5kiaX689zS/603LDgp9A7bk41HOmbISqsbuSv7jZfXl&#13;&#10;hjMfhK1EC1aV/Kg8v1t8/jTvXKEmUENbKWRUxPqicyWvQ3BFlnlZKyP8CJyyFNSARgS64i6rUHRU&#13;&#10;3bTZJM+vsw6wcghSeU/ehyHIF6m+1kqGJ629CqwtOc0W0onp3MYzW8xFsUPh6kaexhD/MIURjaWm&#13;&#10;l1IPIgi2x+aPUqaRCB50GEkwGWjdSJV2oG3G+YdtNrVwKu1C4Hh3gcn/v7Ly8bBxz8hC/xV6IjAC&#13;&#10;0jlfeHLGfXqNJn5pUkZxgvB4gU31gcn4U359ezWlkKTY1WQ6vZnFMtnb3w59+KbAsGiUHImWhJY4&#13;&#10;rH0YUs8psZmFVdO2iZrW/uagmtGTvY0YrdBve9ZU78bfQnWkrRAGwr2Tq4Zar4UPzwKJYZqWVBue&#13;&#10;6NAtdCWHk8VZDfjzb/6YT8BTlLOOFFNyS5LmrP1uiZAorrOByZjMpnlO7m26jW/zWbzZvbkHEuOY&#13;&#10;3oWTySQvhvZsagTzSqJexm4UElZSz5Jvz+Z9GPRLj0Kq5TIlkZicCGu7cTKWjphFQF/6V4HuhHog&#13;&#10;vh7hrClRfAB/yI1/erfcB6IgMRPxHdA8wU5CTNyeHk1U+vt7ynp72otfAAAA//8DAFBLAwQUAAYA&#13;&#10;CAAAACEAcf3Kot8AAAAJAQAADwAAAGRycy9kb3ducmV2LnhtbEyPUUvDMBSF3wX/Q7iCL7KllRlG&#13;&#10;13ToxAdBBk6Zr2lzbcuSm5JkXffvzXzRlwOXwzn3fOV6soaN6EPvSEI+z4AhNU731Er4/HiZLYGF&#13;&#10;qEgr4wglnDHAurq+KlWh3YnecdzFlqUSCoWS0MU4FJyHpkOrwtwNSMn7dt6qmE7fcu3VKZVbw++z&#13;&#10;THCrekofOjXgpsPmsDtaCU93YV+/Hfz5dbtw4mvcCDNshZS3N9PzKsnjCljEKf4l4MKQ9kOVhtXu&#13;&#10;SDowIyHRxF+9eGK5AFZLeMhz4FXJ/xNUPwAAAP//AwBQSwECLQAUAAYACAAAACEAtoM4kv4AAADh&#13;&#10;AQAAEwAAAAAAAAAAAAAAAAAAAAAAW0NvbnRlbnRfVHlwZXNdLnhtbFBLAQItABQABgAIAAAAIQA4&#13;&#10;/SH/1gAAAJQBAAALAAAAAAAAAAAAAAAAAC8BAABfcmVscy8ucmVsc1BLAQItABQABgAIAAAAIQCg&#13;&#10;ryXtEgIAACIEAAAOAAAAAAAAAAAAAAAAAC4CAABkcnMvZTJvRG9jLnhtbFBLAQItABQABgAIAAAA&#13;&#10;IQBx/cqi3wAAAAkBAAAPAAAAAAAAAAAAAAAAAGwEAABkcnMvZG93bnJldi54bWxQSwUGAAAAAAQA&#13;&#10;BADzAAAAeAUAAAAA&#13;&#10;" filled="f" stroked="f">
              <v:textbox style="mso-fit-shape-to-text:t" inset="0,0,20pt,15pt">
                <w:txbxContent>
                  <w:p w14:paraId="741BDACF" w14:textId="6BA61D66" w:rsidR="00EA1AC3" w:rsidRPr="00EA1AC3" w:rsidRDefault="00EA1AC3" w:rsidP="00EA1AC3">
                    <w:pPr>
                      <w:rPr>
                        <w:rFonts w:ascii="Aptos" w:eastAsia="Aptos" w:hAnsi="Aptos" w:cs="Aptos"/>
                        <w:noProof/>
                        <w:color w:val="000000"/>
                        <w:sz w:val="16"/>
                        <w:szCs w:val="16"/>
                      </w:rPr>
                    </w:pPr>
                    <w:r w:rsidRPr="00EA1AC3">
                      <w:rPr>
                        <w:rFonts w:ascii="Aptos" w:eastAsia="Aptos" w:hAnsi="Aptos" w:cs="Aptos"/>
                        <w:noProof/>
                        <w:color w:val="000000"/>
                        <w:sz w:val="16"/>
                        <w:szCs w:val="16"/>
                      </w:rPr>
                      <w:t>Cisco Confidential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CC211A" w14:textId="77777777" w:rsidR="00296696" w:rsidRDefault="00296696" w:rsidP="00F422C2">
      <w:pPr>
        <w:contextualSpacing/>
      </w:pPr>
      <w:r>
        <w:separator/>
      </w:r>
    </w:p>
  </w:footnote>
  <w:footnote w:type="continuationSeparator" w:id="0">
    <w:p w14:paraId="0D0FACD4" w14:textId="77777777" w:rsidR="00296696" w:rsidRDefault="00296696" w:rsidP="00667A63">
      <w:r>
        <w:continuationSeparator/>
      </w:r>
    </w:p>
    <w:p w14:paraId="2D65FEFC" w14:textId="77777777" w:rsidR="00296696" w:rsidRDefault="0029669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FA488B" w14:textId="77777777" w:rsidR="009F20CF" w:rsidRDefault="009F20C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F083A8" w14:textId="77777777" w:rsidR="009F20CF" w:rsidRDefault="009F20C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8AF62" w14:textId="77777777" w:rsidR="009F20CF" w:rsidRDefault="009F20C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3880BA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99D89CE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ABEE42E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9BAC99D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EEC8F3C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6B8A16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0F6935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088A33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C10D95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B8C68B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A026A9"/>
    <w:multiLevelType w:val="multilevel"/>
    <w:tmpl w:val="AFA86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8F97AB1"/>
    <w:multiLevelType w:val="multilevel"/>
    <w:tmpl w:val="D3F4CD66"/>
    <w:lvl w:ilvl="0">
      <w:start w:val="1"/>
      <w:numFmt w:val="decimal"/>
      <w:pStyle w:val="Heading1"/>
      <w:lvlText w:val="%1"/>
      <w:lvlJc w:val="left"/>
      <w:pPr>
        <w:tabs>
          <w:tab w:val="num" w:pos="397"/>
        </w:tabs>
        <w:ind w:left="397" w:hanging="397"/>
      </w:pPr>
      <w:rPr>
        <w:rFonts w:ascii="Times New Roman" w:hAnsi="Times New Roman" w:cs="Times New Roman" w:hint="default"/>
        <w:b/>
        <w:i w:val="0"/>
        <w:caps w:val="0"/>
        <w:strike w:val="0"/>
        <w:dstrike w:val="0"/>
        <w:outline w:val="0"/>
        <w:shadow w:val="0"/>
        <w:emboss w:val="0"/>
        <w:imprint w:val="0"/>
        <w:vanish w:val="0"/>
        <w:color w:val="auto"/>
        <w:sz w:val="24"/>
        <w:szCs w:val="24"/>
        <w:vertAlign w:val="baseline"/>
      </w:rPr>
    </w:lvl>
    <w:lvl w:ilvl="1">
      <w:start w:val="1"/>
      <w:numFmt w:val="decimal"/>
      <w:pStyle w:val="Heading2"/>
      <w:lvlText w:val="%1.%2"/>
      <w:lvlJc w:val="left"/>
      <w:pPr>
        <w:tabs>
          <w:tab w:val="num" w:pos="567"/>
        </w:tabs>
        <w:ind w:left="567" w:hanging="567"/>
      </w:pPr>
      <w:rPr>
        <w:rFonts w:ascii="Times New Roman" w:hAnsi="Times New Roman" w:cs="Times New Roman" w:hint="default"/>
        <w:b/>
        <w:i w:val="0"/>
        <w:strike w:val="0"/>
        <w:dstrike w:val="0"/>
        <w:outline w:val="0"/>
        <w:shadow w:val="0"/>
        <w:emboss w:val="0"/>
        <w:imprint w:val="0"/>
        <w:color w:val="auto"/>
        <w:sz w:val="22"/>
        <w:szCs w:val="22"/>
        <w:vertAlign w:val="baseline"/>
      </w:rPr>
    </w:lvl>
    <w:lvl w:ilvl="2">
      <w:start w:val="1"/>
      <w:numFmt w:val="decimal"/>
      <w:lvlText w:val="%1.%2.%3"/>
      <w:lvlJc w:val="left"/>
      <w:pPr>
        <w:tabs>
          <w:tab w:val="num" w:pos="567"/>
        </w:tabs>
        <w:ind w:left="567" w:hanging="567"/>
      </w:pPr>
      <w:rPr>
        <w:rFonts w:ascii="Times New Roman" w:hAnsi="Times New Roman" w:cs="Times New Roman" w:hint="default"/>
        <w:b/>
        <w:i w:val="0"/>
        <w:sz w:val="22"/>
        <w:szCs w:val="22"/>
      </w:rPr>
    </w:lvl>
    <w:lvl w:ilvl="3">
      <w:start w:val="1"/>
      <w:numFmt w:val="none"/>
      <w:lvlText w:val="%1.%2.%3.%4."/>
      <w:lvlJc w:val="left"/>
      <w:pPr>
        <w:tabs>
          <w:tab w:val="num" w:pos="720"/>
        </w:tabs>
        <w:ind w:left="567" w:hanging="567"/>
      </w:pPr>
      <w:rPr>
        <w:rFonts w:ascii="Times New Roman" w:hAnsi="Times New Roman" w:cs="Times New Roman" w:hint="default"/>
        <w:sz w:val="24"/>
        <w:szCs w:val="24"/>
      </w:rPr>
    </w:lvl>
    <w:lvl w:ilvl="4">
      <w:start w:val="1"/>
      <w:numFmt w:val="none"/>
      <w:lvlText w:val="%1.%2.%3.%4.%5."/>
      <w:lvlJc w:val="left"/>
      <w:pPr>
        <w:tabs>
          <w:tab w:val="num" w:pos="1080"/>
        </w:tabs>
        <w:ind w:left="567" w:hanging="567"/>
      </w:pPr>
      <w:rPr>
        <w:rFonts w:ascii="Times New Roman" w:hAnsi="Times New Roman" w:cs="Times New Roman" w:hint="default"/>
        <w:sz w:val="24"/>
        <w:szCs w:val="24"/>
      </w:rPr>
    </w:lvl>
    <w:lvl w:ilvl="5">
      <w:start w:val="1"/>
      <w:numFmt w:val="none"/>
      <w:lvlText w:val="%1.%2.%3.%4.%5.%6."/>
      <w:lvlJc w:val="left"/>
      <w:pPr>
        <w:tabs>
          <w:tab w:val="num" w:pos="1080"/>
        </w:tabs>
        <w:ind w:left="567" w:hanging="567"/>
      </w:pPr>
      <w:rPr>
        <w:rFonts w:ascii="Times New Roman" w:hAnsi="Times New Roman" w:cs="Times New Roman" w:hint="default"/>
        <w:sz w:val="24"/>
        <w:szCs w:val="24"/>
      </w:rPr>
    </w:lvl>
    <w:lvl w:ilvl="6">
      <w:start w:val="1"/>
      <w:numFmt w:val="none"/>
      <w:lvlText w:val="%1.%2.%3.%4.%5.%6.%7."/>
      <w:lvlJc w:val="left"/>
      <w:pPr>
        <w:tabs>
          <w:tab w:val="num" w:pos="1440"/>
        </w:tabs>
        <w:ind w:left="567" w:hanging="567"/>
      </w:pPr>
      <w:rPr>
        <w:rFonts w:ascii="Times New Roman" w:hAnsi="Times New Roman" w:cs="Times New Roman" w:hint="default"/>
        <w:sz w:val="24"/>
        <w:szCs w:val="24"/>
      </w:rPr>
    </w:lvl>
    <w:lvl w:ilvl="7">
      <w:start w:val="1"/>
      <w:numFmt w:val="none"/>
      <w:lvlText w:val="%1.%2.%3.%4.%5.%6.%7.%8."/>
      <w:lvlJc w:val="left"/>
      <w:pPr>
        <w:tabs>
          <w:tab w:val="num" w:pos="1440"/>
        </w:tabs>
        <w:ind w:left="567" w:hanging="567"/>
      </w:pPr>
      <w:rPr>
        <w:rFonts w:ascii="Times New Roman" w:hAnsi="Times New Roman" w:cs="Times New Roman" w:hint="default"/>
        <w:sz w:val="24"/>
        <w:szCs w:val="24"/>
      </w:rPr>
    </w:lvl>
    <w:lvl w:ilvl="8">
      <w:start w:val="1"/>
      <w:numFmt w:val="none"/>
      <w:lvlText w:val="%1.%2.%3.%4.%5.%6.%7.%8.%9."/>
      <w:lvlJc w:val="left"/>
      <w:pPr>
        <w:tabs>
          <w:tab w:val="num" w:pos="1800"/>
        </w:tabs>
        <w:ind w:left="567" w:hanging="567"/>
      </w:pPr>
      <w:rPr>
        <w:rFonts w:ascii="Times New Roman" w:hAnsi="Times New Roman" w:cs="Times New Roman" w:hint="default"/>
        <w:sz w:val="24"/>
        <w:szCs w:val="24"/>
      </w:rPr>
    </w:lvl>
  </w:abstractNum>
  <w:abstractNum w:abstractNumId="12" w15:restartNumberingAfterBreak="0">
    <w:nsid w:val="0C73562A"/>
    <w:multiLevelType w:val="hybridMultilevel"/>
    <w:tmpl w:val="8230EB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D1E6798"/>
    <w:multiLevelType w:val="hybridMultilevel"/>
    <w:tmpl w:val="11206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86E582D"/>
    <w:multiLevelType w:val="hybridMultilevel"/>
    <w:tmpl w:val="5E18486E"/>
    <w:lvl w:ilvl="0" w:tplc="F90A7C5E">
      <w:start w:val="1"/>
      <w:numFmt w:val="decimal"/>
      <w:pStyle w:val="ACLEnumeratedList"/>
      <w:lvlText w:val="%1."/>
      <w:lvlJc w:val="left"/>
      <w:pPr>
        <w:ind w:left="936" w:hanging="360"/>
      </w:p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15" w15:restartNumberingAfterBreak="0">
    <w:nsid w:val="19F335EB"/>
    <w:multiLevelType w:val="multilevel"/>
    <w:tmpl w:val="5F825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7E62335"/>
    <w:multiLevelType w:val="hybridMultilevel"/>
    <w:tmpl w:val="BE369E2A"/>
    <w:lvl w:ilvl="0" w:tplc="341C8F8A">
      <w:start w:val="1"/>
      <w:numFmt w:val="bullet"/>
      <w:pStyle w:val="ACLBulletedLis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E2F4FBE"/>
    <w:multiLevelType w:val="multilevel"/>
    <w:tmpl w:val="15F257CC"/>
    <w:lvl w:ilvl="0">
      <w:start w:val="1"/>
      <w:numFmt w:val="decimal"/>
      <w:isLgl/>
      <w:lvlText w:val="%1"/>
      <w:lvlJc w:val="left"/>
      <w:pPr>
        <w:tabs>
          <w:tab w:val="num" w:pos="567"/>
        </w:tabs>
        <w:ind w:left="567" w:hanging="567"/>
      </w:pPr>
      <w:rPr>
        <w:rFonts w:ascii="Times New Roman" w:hAnsi="Times New Roman" w:cs="Times New Roman" w:hint="default"/>
        <w:b/>
        <w:i w:val="0"/>
        <w:caps w:val="0"/>
        <w:strike w:val="0"/>
        <w:dstrike w:val="0"/>
        <w:outline w:val="0"/>
        <w:shadow w:val="0"/>
        <w:emboss w:val="0"/>
        <w:imprint w:val="0"/>
        <w:vanish w:val="0"/>
        <w:color w:val="auto"/>
        <w:sz w:val="24"/>
        <w:szCs w:val="24"/>
        <w:vertAlign w:val="baseline"/>
      </w:rPr>
    </w:lvl>
    <w:lvl w:ilvl="1">
      <w:start w:val="1"/>
      <w:numFmt w:val="decimal"/>
      <w:lvlText w:val="2.%2"/>
      <w:lvlJc w:val="left"/>
      <w:pPr>
        <w:tabs>
          <w:tab w:val="num" w:pos="567"/>
        </w:tabs>
        <w:ind w:left="567" w:hanging="567"/>
      </w:pPr>
      <w:rPr>
        <w:rFonts w:ascii="Times New Roman" w:hAnsi="Times New Roman" w:cs="Times New Roman" w:hint="default"/>
        <w:b/>
        <w:i w:val="0"/>
        <w:strike w:val="0"/>
        <w:dstrike w:val="0"/>
        <w:outline w:val="0"/>
        <w:shadow w:val="0"/>
        <w:emboss w:val="0"/>
        <w:imprint w:val="0"/>
        <w:color w:val="auto"/>
        <w:sz w:val="24"/>
        <w:szCs w:val="24"/>
        <w:vertAlign w:val="baseline"/>
      </w:rPr>
    </w:lvl>
    <w:lvl w:ilvl="2">
      <w:start w:val="1"/>
      <w:numFmt w:val="decimal"/>
      <w:lvlText w:val="%1.%2.%3"/>
      <w:lvlJc w:val="left"/>
      <w:pPr>
        <w:tabs>
          <w:tab w:val="num" w:pos="567"/>
        </w:tabs>
        <w:ind w:left="567" w:hanging="567"/>
      </w:pPr>
      <w:rPr>
        <w:rFonts w:ascii="Times New Roman" w:hAnsi="Times New Roman" w:cs="Times New Roman" w:hint="default"/>
        <w:b/>
        <w:i w:val="0"/>
        <w:sz w:val="22"/>
        <w:szCs w:val="22"/>
      </w:rPr>
    </w:lvl>
    <w:lvl w:ilvl="3">
      <w:start w:val="1"/>
      <w:numFmt w:val="none"/>
      <w:lvlText w:val="%1.%2.%3.%4."/>
      <w:lvlJc w:val="left"/>
      <w:pPr>
        <w:tabs>
          <w:tab w:val="num" w:pos="720"/>
        </w:tabs>
        <w:ind w:left="567" w:hanging="567"/>
      </w:pPr>
      <w:rPr>
        <w:rFonts w:ascii="Times New Roman" w:hAnsi="Times New Roman" w:cs="Times New Roman" w:hint="default"/>
        <w:sz w:val="24"/>
        <w:szCs w:val="24"/>
      </w:rPr>
    </w:lvl>
    <w:lvl w:ilvl="4">
      <w:start w:val="1"/>
      <w:numFmt w:val="none"/>
      <w:lvlText w:val="%1.%2.%3.%4.%5."/>
      <w:lvlJc w:val="left"/>
      <w:pPr>
        <w:tabs>
          <w:tab w:val="num" w:pos="1080"/>
        </w:tabs>
        <w:ind w:left="567" w:hanging="567"/>
      </w:pPr>
      <w:rPr>
        <w:rFonts w:ascii="Times New Roman" w:hAnsi="Times New Roman" w:cs="Times New Roman" w:hint="default"/>
        <w:sz w:val="24"/>
        <w:szCs w:val="24"/>
      </w:rPr>
    </w:lvl>
    <w:lvl w:ilvl="5">
      <w:start w:val="1"/>
      <w:numFmt w:val="none"/>
      <w:lvlText w:val="%1.%2.%3.%4.%5.%6."/>
      <w:lvlJc w:val="left"/>
      <w:pPr>
        <w:tabs>
          <w:tab w:val="num" w:pos="1080"/>
        </w:tabs>
        <w:ind w:left="567" w:hanging="567"/>
      </w:pPr>
      <w:rPr>
        <w:rFonts w:ascii="Times New Roman" w:hAnsi="Times New Roman" w:cs="Times New Roman" w:hint="default"/>
        <w:sz w:val="24"/>
        <w:szCs w:val="24"/>
      </w:rPr>
    </w:lvl>
    <w:lvl w:ilvl="6">
      <w:start w:val="1"/>
      <w:numFmt w:val="none"/>
      <w:lvlText w:val="%1.%2.%3.%4.%5.%6.%7."/>
      <w:lvlJc w:val="left"/>
      <w:pPr>
        <w:tabs>
          <w:tab w:val="num" w:pos="1440"/>
        </w:tabs>
        <w:ind w:left="567" w:hanging="567"/>
      </w:pPr>
      <w:rPr>
        <w:rFonts w:ascii="Times New Roman" w:hAnsi="Times New Roman" w:cs="Times New Roman" w:hint="default"/>
        <w:sz w:val="24"/>
        <w:szCs w:val="24"/>
      </w:rPr>
    </w:lvl>
    <w:lvl w:ilvl="7">
      <w:start w:val="1"/>
      <w:numFmt w:val="none"/>
      <w:lvlText w:val="%1.%2.%3.%4.%5.%6.%7.%8."/>
      <w:lvlJc w:val="left"/>
      <w:pPr>
        <w:tabs>
          <w:tab w:val="num" w:pos="1440"/>
        </w:tabs>
        <w:ind w:left="567" w:hanging="567"/>
      </w:pPr>
      <w:rPr>
        <w:rFonts w:ascii="Times New Roman" w:hAnsi="Times New Roman" w:cs="Times New Roman" w:hint="default"/>
        <w:sz w:val="24"/>
        <w:szCs w:val="24"/>
      </w:rPr>
    </w:lvl>
    <w:lvl w:ilvl="8">
      <w:start w:val="1"/>
      <w:numFmt w:val="none"/>
      <w:lvlText w:val="%1.%2.%3.%4.%5.%6.%7.%8.%9."/>
      <w:lvlJc w:val="left"/>
      <w:pPr>
        <w:tabs>
          <w:tab w:val="num" w:pos="1800"/>
        </w:tabs>
        <w:ind w:left="567" w:hanging="567"/>
      </w:pPr>
      <w:rPr>
        <w:rFonts w:ascii="Times New Roman" w:hAnsi="Times New Roman" w:cs="Times New Roman" w:hint="default"/>
        <w:sz w:val="24"/>
        <w:szCs w:val="24"/>
      </w:rPr>
    </w:lvl>
  </w:abstractNum>
  <w:abstractNum w:abstractNumId="18" w15:restartNumberingAfterBreak="0">
    <w:nsid w:val="488729BD"/>
    <w:multiLevelType w:val="hybridMultilevel"/>
    <w:tmpl w:val="F648AAD4"/>
    <w:lvl w:ilvl="0" w:tplc="04090001">
      <w:start w:val="1"/>
      <w:numFmt w:val="bullet"/>
      <w:lvlText w:val=""/>
      <w:lvlJc w:val="left"/>
      <w:pPr>
        <w:ind w:left="590" w:hanging="360"/>
      </w:pPr>
      <w:rPr>
        <w:rFonts w:ascii="Symbol" w:hAnsi="Symbol" w:hint="default"/>
      </w:rPr>
    </w:lvl>
    <w:lvl w:ilvl="1" w:tplc="04090003" w:tentative="1">
      <w:start w:val="1"/>
      <w:numFmt w:val="bullet"/>
      <w:lvlText w:val="o"/>
      <w:lvlJc w:val="left"/>
      <w:pPr>
        <w:ind w:left="1310" w:hanging="360"/>
      </w:pPr>
      <w:rPr>
        <w:rFonts w:ascii="Courier New" w:hAnsi="Courier New" w:cs="Courier New" w:hint="default"/>
      </w:rPr>
    </w:lvl>
    <w:lvl w:ilvl="2" w:tplc="04090005" w:tentative="1">
      <w:start w:val="1"/>
      <w:numFmt w:val="bullet"/>
      <w:lvlText w:val=""/>
      <w:lvlJc w:val="left"/>
      <w:pPr>
        <w:ind w:left="2030" w:hanging="360"/>
      </w:pPr>
      <w:rPr>
        <w:rFonts w:ascii="Wingdings" w:hAnsi="Wingdings" w:hint="default"/>
      </w:rPr>
    </w:lvl>
    <w:lvl w:ilvl="3" w:tplc="04090001" w:tentative="1">
      <w:start w:val="1"/>
      <w:numFmt w:val="bullet"/>
      <w:lvlText w:val=""/>
      <w:lvlJc w:val="left"/>
      <w:pPr>
        <w:ind w:left="2750" w:hanging="360"/>
      </w:pPr>
      <w:rPr>
        <w:rFonts w:ascii="Symbol" w:hAnsi="Symbol" w:hint="default"/>
      </w:rPr>
    </w:lvl>
    <w:lvl w:ilvl="4" w:tplc="04090003" w:tentative="1">
      <w:start w:val="1"/>
      <w:numFmt w:val="bullet"/>
      <w:lvlText w:val="o"/>
      <w:lvlJc w:val="left"/>
      <w:pPr>
        <w:ind w:left="3470" w:hanging="360"/>
      </w:pPr>
      <w:rPr>
        <w:rFonts w:ascii="Courier New" w:hAnsi="Courier New" w:cs="Courier New" w:hint="default"/>
      </w:rPr>
    </w:lvl>
    <w:lvl w:ilvl="5" w:tplc="04090005" w:tentative="1">
      <w:start w:val="1"/>
      <w:numFmt w:val="bullet"/>
      <w:lvlText w:val=""/>
      <w:lvlJc w:val="left"/>
      <w:pPr>
        <w:ind w:left="4190" w:hanging="360"/>
      </w:pPr>
      <w:rPr>
        <w:rFonts w:ascii="Wingdings" w:hAnsi="Wingdings" w:hint="default"/>
      </w:rPr>
    </w:lvl>
    <w:lvl w:ilvl="6" w:tplc="04090001" w:tentative="1">
      <w:start w:val="1"/>
      <w:numFmt w:val="bullet"/>
      <w:lvlText w:val=""/>
      <w:lvlJc w:val="left"/>
      <w:pPr>
        <w:ind w:left="4910" w:hanging="360"/>
      </w:pPr>
      <w:rPr>
        <w:rFonts w:ascii="Symbol" w:hAnsi="Symbol" w:hint="default"/>
      </w:rPr>
    </w:lvl>
    <w:lvl w:ilvl="7" w:tplc="04090003" w:tentative="1">
      <w:start w:val="1"/>
      <w:numFmt w:val="bullet"/>
      <w:lvlText w:val="o"/>
      <w:lvlJc w:val="left"/>
      <w:pPr>
        <w:ind w:left="5630" w:hanging="360"/>
      </w:pPr>
      <w:rPr>
        <w:rFonts w:ascii="Courier New" w:hAnsi="Courier New" w:cs="Courier New" w:hint="default"/>
      </w:rPr>
    </w:lvl>
    <w:lvl w:ilvl="8" w:tplc="04090005" w:tentative="1">
      <w:start w:val="1"/>
      <w:numFmt w:val="bullet"/>
      <w:lvlText w:val=""/>
      <w:lvlJc w:val="left"/>
      <w:pPr>
        <w:ind w:left="6350" w:hanging="360"/>
      </w:pPr>
      <w:rPr>
        <w:rFonts w:ascii="Wingdings" w:hAnsi="Wingdings" w:hint="default"/>
      </w:rPr>
    </w:lvl>
  </w:abstractNum>
  <w:abstractNum w:abstractNumId="19" w15:restartNumberingAfterBreak="0">
    <w:nsid w:val="526C30E4"/>
    <w:multiLevelType w:val="multilevel"/>
    <w:tmpl w:val="8D42BCB6"/>
    <w:lvl w:ilvl="0">
      <w:start w:val="1"/>
      <w:numFmt w:val="decimal"/>
      <w:lvlText w:val="%1"/>
      <w:lvlJc w:val="left"/>
      <w:pPr>
        <w:tabs>
          <w:tab w:val="num" w:pos="567"/>
        </w:tabs>
        <w:ind w:left="567" w:hanging="567"/>
      </w:pPr>
      <w:rPr>
        <w:rFonts w:ascii="Times New Roman" w:hAnsi="Times New Roman" w:cs="Times New Roman" w:hint="default"/>
        <w:b/>
        <w:i w:val="0"/>
        <w:caps w:val="0"/>
        <w:strike w:val="0"/>
        <w:dstrike w:val="0"/>
        <w:outline w:val="0"/>
        <w:shadow w:val="0"/>
        <w:emboss w:val="0"/>
        <w:imprint w:val="0"/>
        <w:vanish w:val="0"/>
        <w:color w:val="auto"/>
        <w:sz w:val="24"/>
        <w:szCs w:val="24"/>
        <w:vertAlign w:val="baseline"/>
      </w:rPr>
    </w:lvl>
    <w:lvl w:ilvl="1">
      <w:start w:val="1"/>
      <w:numFmt w:val="decimal"/>
      <w:lvlText w:val="%1.%2"/>
      <w:lvlJc w:val="left"/>
      <w:pPr>
        <w:tabs>
          <w:tab w:val="num" w:pos="567"/>
        </w:tabs>
        <w:ind w:left="567" w:hanging="567"/>
      </w:pPr>
      <w:rPr>
        <w:rFonts w:ascii="Times New Roman" w:hAnsi="Times New Roman" w:cs="Times New Roman" w:hint="default"/>
        <w:b/>
        <w:i w:val="0"/>
        <w:strike w:val="0"/>
        <w:dstrike w:val="0"/>
        <w:outline w:val="0"/>
        <w:shadow w:val="0"/>
        <w:emboss w:val="0"/>
        <w:imprint w:val="0"/>
        <w:color w:val="auto"/>
        <w:sz w:val="24"/>
        <w:szCs w:val="24"/>
        <w:vertAlign w:val="baseline"/>
      </w:rPr>
    </w:lvl>
    <w:lvl w:ilvl="2">
      <w:start w:val="1"/>
      <w:numFmt w:val="decimal"/>
      <w:lvlText w:val="%1.%2.%3"/>
      <w:lvlJc w:val="left"/>
      <w:pPr>
        <w:tabs>
          <w:tab w:val="num" w:pos="567"/>
        </w:tabs>
        <w:ind w:left="567" w:hanging="567"/>
      </w:pPr>
      <w:rPr>
        <w:rFonts w:ascii="Times New Roman" w:hAnsi="Times New Roman" w:cs="Times New Roman" w:hint="default"/>
        <w:b/>
        <w:i w:val="0"/>
        <w:sz w:val="22"/>
        <w:szCs w:val="22"/>
      </w:rPr>
    </w:lvl>
    <w:lvl w:ilvl="3">
      <w:start w:val="1"/>
      <w:numFmt w:val="none"/>
      <w:lvlText w:val="%1.%2.%3.%4."/>
      <w:lvlJc w:val="left"/>
      <w:pPr>
        <w:tabs>
          <w:tab w:val="num" w:pos="720"/>
        </w:tabs>
        <w:ind w:left="567" w:hanging="567"/>
      </w:pPr>
      <w:rPr>
        <w:rFonts w:ascii="Times New Roman" w:hAnsi="Times New Roman" w:cs="Times New Roman" w:hint="default"/>
        <w:sz w:val="24"/>
        <w:szCs w:val="24"/>
      </w:rPr>
    </w:lvl>
    <w:lvl w:ilvl="4">
      <w:start w:val="1"/>
      <w:numFmt w:val="none"/>
      <w:lvlText w:val="%1.%2.%3.%4.%5."/>
      <w:lvlJc w:val="left"/>
      <w:pPr>
        <w:tabs>
          <w:tab w:val="num" w:pos="1080"/>
        </w:tabs>
        <w:ind w:left="567" w:hanging="567"/>
      </w:pPr>
      <w:rPr>
        <w:rFonts w:ascii="Times New Roman" w:hAnsi="Times New Roman" w:cs="Times New Roman" w:hint="default"/>
        <w:sz w:val="24"/>
        <w:szCs w:val="24"/>
      </w:rPr>
    </w:lvl>
    <w:lvl w:ilvl="5">
      <w:start w:val="1"/>
      <w:numFmt w:val="none"/>
      <w:lvlText w:val="%1.%2.%3.%4.%5.%6."/>
      <w:lvlJc w:val="left"/>
      <w:pPr>
        <w:tabs>
          <w:tab w:val="num" w:pos="1080"/>
        </w:tabs>
        <w:ind w:left="567" w:hanging="567"/>
      </w:pPr>
      <w:rPr>
        <w:rFonts w:ascii="Times New Roman" w:hAnsi="Times New Roman" w:cs="Times New Roman" w:hint="default"/>
        <w:sz w:val="24"/>
        <w:szCs w:val="24"/>
      </w:rPr>
    </w:lvl>
    <w:lvl w:ilvl="6">
      <w:start w:val="1"/>
      <w:numFmt w:val="none"/>
      <w:lvlText w:val="%1.%2.%3.%4.%5.%6.%7."/>
      <w:lvlJc w:val="left"/>
      <w:pPr>
        <w:tabs>
          <w:tab w:val="num" w:pos="1440"/>
        </w:tabs>
        <w:ind w:left="567" w:hanging="567"/>
      </w:pPr>
      <w:rPr>
        <w:rFonts w:ascii="Times New Roman" w:hAnsi="Times New Roman" w:cs="Times New Roman" w:hint="default"/>
        <w:sz w:val="24"/>
        <w:szCs w:val="24"/>
      </w:rPr>
    </w:lvl>
    <w:lvl w:ilvl="7">
      <w:start w:val="1"/>
      <w:numFmt w:val="none"/>
      <w:lvlText w:val="%1.%2.%3.%4.%5.%6.%7.%8."/>
      <w:lvlJc w:val="left"/>
      <w:pPr>
        <w:tabs>
          <w:tab w:val="num" w:pos="1440"/>
        </w:tabs>
        <w:ind w:left="567" w:hanging="567"/>
      </w:pPr>
      <w:rPr>
        <w:rFonts w:ascii="Times New Roman" w:hAnsi="Times New Roman" w:cs="Times New Roman" w:hint="default"/>
        <w:sz w:val="24"/>
        <w:szCs w:val="24"/>
      </w:rPr>
    </w:lvl>
    <w:lvl w:ilvl="8">
      <w:start w:val="1"/>
      <w:numFmt w:val="none"/>
      <w:lvlText w:val="%1.%2.%3.%4.%5.%6.%7.%8.%9."/>
      <w:lvlJc w:val="left"/>
      <w:pPr>
        <w:tabs>
          <w:tab w:val="num" w:pos="1800"/>
        </w:tabs>
        <w:ind w:left="567" w:hanging="567"/>
      </w:pPr>
      <w:rPr>
        <w:rFonts w:ascii="Times New Roman" w:hAnsi="Times New Roman" w:cs="Times New Roman" w:hint="default"/>
        <w:sz w:val="24"/>
        <w:szCs w:val="24"/>
      </w:rPr>
    </w:lvl>
  </w:abstractNum>
  <w:abstractNum w:abstractNumId="20" w15:restartNumberingAfterBreak="0">
    <w:nsid w:val="57DB479E"/>
    <w:multiLevelType w:val="hybridMultilevel"/>
    <w:tmpl w:val="8FF4EE3E"/>
    <w:lvl w:ilvl="0" w:tplc="624449DA">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5FCF4795"/>
    <w:multiLevelType w:val="multilevel"/>
    <w:tmpl w:val="B1C442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2353525"/>
    <w:multiLevelType w:val="multilevel"/>
    <w:tmpl w:val="FD404E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81D4452"/>
    <w:multiLevelType w:val="multilevel"/>
    <w:tmpl w:val="8FF4EE3E"/>
    <w:lvl w:ilvl="0">
      <w:start w:val="1"/>
      <w:numFmt w:val="upperLetter"/>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906258488">
    <w:abstractNumId w:val="16"/>
  </w:num>
  <w:num w:numId="2" w16cid:durableId="1833525197">
    <w:abstractNumId w:val="14"/>
  </w:num>
  <w:num w:numId="3" w16cid:durableId="1728911855">
    <w:abstractNumId w:val="11"/>
  </w:num>
  <w:num w:numId="4" w16cid:durableId="350685267">
    <w:abstractNumId w:val="11"/>
  </w:num>
  <w:num w:numId="5" w16cid:durableId="1324316556">
    <w:abstractNumId w:val="20"/>
  </w:num>
  <w:num w:numId="6" w16cid:durableId="27938356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48822227">
    <w:abstractNumId w:val="17"/>
  </w:num>
  <w:num w:numId="8" w16cid:durableId="992100890">
    <w:abstractNumId w:val="11"/>
  </w:num>
  <w:num w:numId="9" w16cid:durableId="1247226762">
    <w:abstractNumId w:val="11"/>
  </w:num>
  <w:num w:numId="10" w16cid:durableId="185097762">
    <w:abstractNumId w:val="12"/>
  </w:num>
  <w:num w:numId="11" w16cid:durableId="2016883162">
    <w:abstractNumId w:val="18"/>
  </w:num>
  <w:num w:numId="12" w16cid:durableId="1673337539">
    <w:abstractNumId w:val="13"/>
  </w:num>
  <w:num w:numId="13" w16cid:durableId="93719048">
    <w:abstractNumId w:val="23"/>
  </w:num>
  <w:num w:numId="14" w16cid:durableId="811487225">
    <w:abstractNumId w:val="0"/>
  </w:num>
  <w:num w:numId="15" w16cid:durableId="637802465">
    <w:abstractNumId w:val="1"/>
  </w:num>
  <w:num w:numId="16" w16cid:durableId="1557620030">
    <w:abstractNumId w:val="2"/>
  </w:num>
  <w:num w:numId="17" w16cid:durableId="242489425">
    <w:abstractNumId w:val="3"/>
  </w:num>
  <w:num w:numId="18" w16cid:durableId="316618324">
    <w:abstractNumId w:val="8"/>
  </w:num>
  <w:num w:numId="19" w16cid:durableId="1794056154">
    <w:abstractNumId w:val="4"/>
  </w:num>
  <w:num w:numId="20" w16cid:durableId="139002493">
    <w:abstractNumId w:val="5"/>
  </w:num>
  <w:num w:numId="21" w16cid:durableId="1042632570">
    <w:abstractNumId w:val="6"/>
  </w:num>
  <w:num w:numId="22" w16cid:durableId="1454790280">
    <w:abstractNumId w:val="7"/>
  </w:num>
  <w:num w:numId="23" w16cid:durableId="366026925">
    <w:abstractNumId w:val="9"/>
  </w:num>
  <w:num w:numId="24" w16cid:durableId="130942994">
    <w:abstractNumId w:val="21"/>
  </w:num>
  <w:num w:numId="25" w16cid:durableId="101844129">
    <w:abstractNumId w:val="10"/>
  </w:num>
  <w:num w:numId="26" w16cid:durableId="1257665241">
    <w:abstractNumId w:val="15"/>
  </w:num>
  <w:num w:numId="27" w16cid:durableId="187815652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7"/>
  <w:bordersDoNotSurroundHeader/>
  <w:bordersDoNotSurroundFooter/>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424A"/>
    <w:rsid w:val="000010C9"/>
    <w:rsid w:val="00003470"/>
    <w:rsid w:val="00004CF7"/>
    <w:rsid w:val="000059B8"/>
    <w:rsid w:val="00005FA5"/>
    <w:rsid w:val="000123B0"/>
    <w:rsid w:val="0001319F"/>
    <w:rsid w:val="00017AF2"/>
    <w:rsid w:val="000350CD"/>
    <w:rsid w:val="00040451"/>
    <w:rsid w:val="00041E62"/>
    <w:rsid w:val="00042835"/>
    <w:rsid w:val="00043B8A"/>
    <w:rsid w:val="000440E0"/>
    <w:rsid w:val="0006159B"/>
    <w:rsid w:val="0006287F"/>
    <w:rsid w:val="00063F74"/>
    <w:rsid w:val="0006507E"/>
    <w:rsid w:val="000673C7"/>
    <w:rsid w:val="0007551D"/>
    <w:rsid w:val="00076590"/>
    <w:rsid w:val="00077363"/>
    <w:rsid w:val="00085910"/>
    <w:rsid w:val="00090964"/>
    <w:rsid w:val="00095F6D"/>
    <w:rsid w:val="000A11AC"/>
    <w:rsid w:val="000B0AD5"/>
    <w:rsid w:val="000B2A0B"/>
    <w:rsid w:val="000B502B"/>
    <w:rsid w:val="000C13E7"/>
    <w:rsid w:val="000D0BBD"/>
    <w:rsid w:val="000E04B9"/>
    <w:rsid w:val="000F1634"/>
    <w:rsid w:val="000F279D"/>
    <w:rsid w:val="000F4224"/>
    <w:rsid w:val="000F468A"/>
    <w:rsid w:val="00100BB5"/>
    <w:rsid w:val="001239D7"/>
    <w:rsid w:val="00132243"/>
    <w:rsid w:val="001353B1"/>
    <w:rsid w:val="00153EDA"/>
    <w:rsid w:val="00153FB0"/>
    <w:rsid w:val="0015673B"/>
    <w:rsid w:val="00165EF4"/>
    <w:rsid w:val="00170D36"/>
    <w:rsid w:val="001716CB"/>
    <w:rsid w:val="00181A2A"/>
    <w:rsid w:val="00184BFF"/>
    <w:rsid w:val="00184D57"/>
    <w:rsid w:val="00185521"/>
    <w:rsid w:val="00192E4C"/>
    <w:rsid w:val="001966D3"/>
    <w:rsid w:val="001A719D"/>
    <w:rsid w:val="001C1D08"/>
    <w:rsid w:val="001C327D"/>
    <w:rsid w:val="001C78E9"/>
    <w:rsid w:val="001D1336"/>
    <w:rsid w:val="001D2254"/>
    <w:rsid w:val="001D2361"/>
    <w:rsid w:val="001E3C48"/>
    <w:rsid w:val="001F0CD7"/>
    <w:rsid w:val="001F52AB"/>
    <w:rsid w:val="00202E9F"/>
    <w:rsid w:val="002355BB"/>
    <w:rsid w:val="002401E1"/>
    <w:rsid w:val="00241F84"/>
    <w:rsid w:val="00242C04"/>
    <w:rsid w:val="002438BD"/>
    <w:rsid w:val="0025490F"/>
    <w:rsid w:val="00257927"/>
    <w:rsid w:val="00257FF6"/>
    <w:rsid w:val="00266C88"/>
    <w:rsid w:val="00271BF5"/>
    <w:rsid w:val="00285B17"/>
    <w:rsid w:val="0029350C"/>
    <w:rsid w:val="00296696"/>
    <w:rsid w:val="002A08EF"/>
    <w:rsid w:val="002A389D"/>
    <w:rsid w:val="002A4A19"/>
    <w:rsid w:val="002A6F30"/>
    <w:rsid w:val="002B248B"/>
    <w:rsid w:val="002B5D89"/>
    <w:rsid w:val="002C4AAA"/>
    <w:rsid w:val="002C61F5"/>
    <w:rsid w:val="002D5CE1"/>
    <w:rsid w:val="002E0BAD"/>
    <w:rsid w:val="002E22CC"/>
    <w:rsid w:val="002E6156"/>
    <w:rsid w:val="002E6F48"/>
    <w:rsid w:val="002F7011"/>
    <w:rsid w:val="00301704"/>
    <w:rsid w:val="003017A4"/>
    <w:rsid w:val="00303217"/>
    <w:rsid w:val="00303366"/>
    <w:rsid w:val="0031447B"/>
    <w:rsid w:val="00320EFF"/>
    <w:rsid w:val="0032189D"/>
    <w:rsid w:val="0033307B"/>
    <w:rsid w:val="003354C7"/>
    <w:rsid w:val="00341C4E"/>
    <w:rsid w:val="00341C64"/>
    <w:rsid w:val="00343900"/>
    <w:rsid w:val="00347241"/>
    <w:rsid w:val="00361845"/>
    <w:rsid w:val="00362299"/>
    <w:rsid w:val="00366A06"/>
    <w:rsid w:val="00367B7B"/>
    <w:rsid w:val="0037108F"/>
    <w:rsid w:val="0037262C"/>
    <w:rsid w:val="003837A5"/>
    <w:rsid w:val="00383BAD"/>
    <w:rsid w:val="00384556"/>
    <w:rsid w:val="003851ED"/>
    <w:rsid w:val="00385D02"/>
    <w:rsid w:val="00386A82"/>
    <w:rsid w:val="00387670"/>
    <w:rsid w:val="00387E4F"/>
    <w:rsid w:val="003908FD"/>
    <w:rsid w:val="00392298"/>
    <w:rsid w:val="00392C52"/>
    <w:rsid w:val="003A28BF"/>
    <w:rsid w:val="003B270A"/>
    <w:rsid w:val="003B6377"/>
    <w:rsid w:val="003C193A"/>
    <w:rsid w:val="003C20B0"/>
    <w:rsid w:val="003C5E49"/>
    <w:rsid w:val="003D3B8C"/>
    <w:rsid w:val="003E0B04"/>
    <w:rsid w:val="003E32C8"/>
    <w:rsid w:val="0040789D"/>
    <w:rsid w:val="00407D9F"/>
    <w:rsid w:val="0041456E"/>
    <w:rsid w:val="0042139F"/>
    <w:rsid w:val="00423BAE"/>
    <w:rsid w:val="00424FBA"/>
    <w:rsid w:val="004316BC"/>
    <w:rsid w:val="00432069"/>
    <w:rsid w:val="004342C0"/>
    <w:rsid w:val="00443F5E"/>
    <w:rsid w:val="00444FE1"/>
    <w:rsid w:val="00446B8B"/>
    <w:rsid w:val="00453791"/>
    <w:rsid w:val="004649DF"/>
    <w:rsid w:val="00464BD1"/>
    <w:rsid w:val="00470281"/>
    <w:rsid w:val="0047067E"/>
    <w:rsid w:val="0048141F"/>
    <w:rsid w:val="00490093"/>
    <w:rsid w:val="00490816"/>
    <w:rsid w:val="004C1129"/>
    <w:rsid w:val="004C6350"/>
    <w:rsid w:val="004C651F"/>
    <w:rsid w:val="004C739E"/>
    <w:rsid w:val="004D0852"/>
    <w:rsid w:val="004D7959"/>
    <w:rsid w:val="004E2C58"/>
    <w:rsid w:val="004E6AEC"/>
    <w:rsid w:val="004F08B2"/>
    <w:rsid w:val="004F4295"/>
    <w:rsid w:val="004F46F3"/>
    <w:rsid w:val="004F6729"/>
    <w:rsid w:val="00500B6E"/>
    <w:rsid w:val="005054B5"/>
    <w:rsid w:val="00506AD9"/>
    <w:rsid w:val="00515A56"/>
    <w:rsid w:val="00516C90"/>
    <w:rsid w:val="00520FE5"/>
    <w:rsid w:val="00522F2F"/>
    <w:rsid w:val="005314A0"/>
    <w:rsid w:val="00532846"/>
    <w:rsid w:val="005415F7"/>
    <w:rsid w:val="00541AC0"/>
    <w:rsid w:val="005449E1"/>
    <w:rsid w:val="00545F2F"/>
    <w:rsid w:val="00552469"/>
    <w:rsid w:val="005532D2"/>
    <w:rsid w:val="00561A52"/>
    <w:rsid w:val="005709FD"/>
    <w:rsid w:val="005820D7"/>
    <w:rsid w:val="00582529"/>
    <w:rsid w:val="00582561"/>
    <w:rsid w:val="005828AD"/>
    <w:rsid w:val="00590429"/>
    <w:rsid w:val="005A1FB9"/>
    <w:rsid w:val="005A2429"/>
    <w:rsid w:val="005A3874"/>
    <w:rsid w:val="005B2210"/>
    <w:rsid w:val="005B34B3"/>
    <w:rsid w:val="005B5174"/>
    <w:rsid w:val="005C1307"/>
    <w:rsid w:val="005C37D8"/>
    <w:rsid w:val="005D01F3"/>
    <w:rsid w:val="005D7B18"/>
    <w:rsid w:val="005E5673"/>
    <w:rsid w:val="005F3DD5"/>
    <w:rsid w:val="005F48FC"/>
    <w:rsid w:val="0060202B"/>
    <w:rsid w:val="006024A8"/>
    <w:rsid w:val="00607C18"/>
    <w:rsid w:val="0061627B"/>
    <w:rsid w:val="00617D6A"/>
    <w:rsid w:val="006200A2"/>
    <w:rsid w:val="0062391D"/>
    <w:rsid w:val="0062407D"/>
    <w:rsid w:val="00625631"/>
    <w:rsid w:val="006339A0"/>
    <w:rsid w:val="006341F4"/>
    <w:rsid w:val="006416A5"/>
    <w:rsid w:val="00653781"/>
    <w:rsid w:val="006611DE"/>
    <w:rsid w:val="0066427E"/>
    <w:rsid w:val="006667C6"/>
    <w:rsid w:val="00667A63"/>
    <w:rsid w:val="006715E9"/>
    <w:rsid w:val="006718A0"/>
    <w:rsid w:val="00675568"/>
    <w:rsid w:val="00681897"/>
    <w:rsid w:val="006977B7"/>
    <w:rsid w:val="006A4029"/>
    <w:rsid w:val="006A4F3B"/>
    <w:rsid w:val="006C159C"/>
    <w:rsid w:val="006C6603"/>
    <w:rsid w:val="006D2F22"/>
    <w:rsid w:val="006D4060"/>
    <w:rsid w:val="006E0882"/>
    <w:rsid w:val="006E2A61"/>
    <w:rsid w:val="006E75D0"/>
    <w:rsid w:val="006F244A"/>
    <w:rsid w:val="006F452A"/>
    <w:rsid w:val="006F5802"/>
    <w:rsid w:val="006F70B5"/>
    <w:rsid w:val="007009FD"/>
    <w:rsid w:val="007053FA"/>
    <w:rsid w:val="00715174"/>
    <w:rsid w:val="00715AAD"/>
    <w:rsid w:val="0072515E"/>
    <w:rsid w:val="00726D45"/>
    <w:rsid w:val="007327B1"/>
    <w:rsid w:val="007376E2"/>
    <w:rsid w:val="007447A4"/>
    <w:rsid w:val="00744EB3"/>
    <w:rsid w:val="00750395"/>
    <w:rsid w:val="007508B2"/>
    <w:rsid w:val="00753A9B"/>
    <w:rsid w:val="007556A7"/>
    <w:rsid w:val="0075597D"/>
    <w:rsid w:val="007608E0"/>
    <w:rsid w:val="00761FC0"/>
    <w:rsid w:val="007641D8"/>
    <w:rsid w:val="0076618A"/>
    <w:rsid w:val="00777AF8"/>
    <w:rsid w:val="007951F3"/>
    <w:rsid w:val="00795479"/>
    <w:rsid w:val="007B1755"/>
    <w:rsid w:val="007B3722"/>
    <w:rsid w:val="007C5AF5"/>
    <w:rsid w:val="007C77D4"/>
    <w:rsid w:val="007D2776"/>
    <w:rsid w:val="007D6ABE"/>
    <w:rsid w:val="007E4076"/>
    <w:rsid w:val="007E6C4F"/>
    <w:rsid w:val="007E7BE9"/>
    <w:rsid w:val="007F010D"/>
    <w:rsid w:val="007F3274"/>
    <w:rsid w:val="007F60FC"/>
    <w:rsid w:val="008072F7"/>
    <w:rsid w:val="0081359C"/>
    <w:rsid w:val="00816178"/>
    <w:rsid w:val="00834D6E"/>
    <w:rsid w:val="008456D2"/>
    <w:rsid w:val="00856C57"/>
    <w:rsid w:val="00861EB0"/>
    <w:rsid w:val="0087257A"/>
    <w:rsid w:val="008735DC"/>
    <w:rsid w:val="00874D6F"/>
    <w:rsid w:val="008765B5"/>
    <w:rsid w:val="0088405B"/>
    <w:rsid w:val="00886957"/>
    <w:rsid w:val="008A49DE"/>
    <w:rsid w:val="008B2D46"/>
    <w:rsid w:val="008B7081"/>
    <w:rsid w:val="008C6221"/>
    <w:rsid w:val="008D1AC4"/>
    <w:rsid w:val="008D5A00"/>
    <w:rsid w:val="008E05B4"/>
    <w:rsid w:val="008E6433"/>
    <w:rsid w:val="008E70D3"/>
    <w:rsid w:val="00904E71"/>
    <w:rsid w:val="00905BA9"/>
    <w:rsid w:val="00910283"/>
    <w:rsid w:val="0091330B"/>
    <w:rsid w:val="00922616"/>
    <w:rsid w:val="0092671C"/>
    <w:rsid w:val="0093349C"/>
    <w:rsid w:val="00943A37"/>
    <w:rsid w:val="00953CEB"/>
    <w:rsid w:val="00963B63"/>
    <w:rsid w:val="00965593"/>
    <w:rsid w:val="009704C1"/>
    <w:rsid w:val="009805A5"/>
    <w:rsid w:val="00982148"/>
    <w:rsid w:val="00992AE6"/>
    <w:rsid w:val="009A6463"/>
    <w:rsid w:val="009A6A1A"/>
    <w:rsid w:val="009B3A8D"/>
    <w:rsid w:val="009C2986"/>
    <w:rsid w:val="009C7F37"/>
    <w:rsid w:val="009D0153"/>
    <w:rsid w:val="009F20CF"/>
    <w:rsid w:val="009F4873"/>
    <w:rsid w:val="00A023A7"/>
    <w:rsid w:val="00A02AEA"/>
    <w:rsid w:val="00A0497E"/>
    <w:rsid w:val="00A211B2"/>
    <w:rsid w:val="00A21EE7"/>
    <w:rsid w:val="00A22698"/>
    <w:rsid w:val="00A23A7C"/>
    <w:rsid w:val="00A35821"/>
    <w:rsid w:val="00A44F3B"/>
    <w:rsid w:val="00A4509C"/>
    <w:rsid w:val="00A4523A"/>
    <w:rsid w:val="00A45C6C"/>
    <w:rsid w:val="00A47216"/>
    <w:rsid w:val="00A47EDF"/>
    <w:rsid w:val="00A50FF9"/>
    <w:rsid w:val="00A5424A"/>
    <w:rsid w:val="00A6714C"/>
    <w:rsid w:val="00A8254C"/>
    <w:rsid w:val="00A85219"/>
    <w:rsid w:val="00A901C3"/>
    <w:rsid w:val="00A90828"/>
    <w:rsid w:val="00A934D7"/>
    <w:rsid w:val="00A95291"/>
    <w:rsid w:val="00A96360"/>
    <w:rsid w:val="00AA3BB4"/>
    <w:rsid w:val="00AB1AE8"/>
    <w:rsid w:val="00AC2CE7"/>
    <w:rsid w:val="00AC7CEE"/>
    <w:rsid w:val="00AD6975"/>
    <w:rsid w:val="00AE3530"/>
    <w:rsid w:val="00AE3FA3"/>
    <w:rsid w:val="00AE4058"/>
    <w:rsid w:val="00AE49F1"/>
    <w:rsid w:val="00AE52F4"/>
    <w:rsid w:val="00AE5489"/>
    <w:rsid w:val="00AF1E98"/>
    <w:rsid w:val="00AF456F"/>
    <w:rsid w:val="00AF5A9C"/>
    <w:rsid w:val="00AF763D"/>
    <w:rsid w:val="00B0079F"/>
    <w:rsid w:val="00B02EE2"/>
    <w:rsid w:val="00B0315E"/>
    <w:rsid w:val="00B2463D"/>
    <w:rsid w:val="00B27055"/>
    <w:rsid w:val="00B30EDF"/>
    <w:rsid w:val="00B428D6"/>
    <w:rsid w:val="00B44651"/>
    <w:rsid w:val="00B447BE"/>
    <w:rsid w:val="00B44EF1"/>
    <w:rsid w:val="00B52525"/>
    <w:rsid w:val="00B55A9B"/>
    <w:rsid w:val="00B618F7"/>
    <w:rsid w:val="00B7046D"/>
    <w:rsid w:val="00B766A8"/>
    <w:rsid w:val="00B86D75"/>
    <w:rsid w:val="00B90A07"/>
    <w:rsid w:val="00B92E3B"/>
    <w:rsid w:val="00B96ACB"/>
    <w:rsid w:val="00BA094D"/>
    <w:rsid w:val="00BA260B"/>
    <w:rsid w:val="00BA4491"/>
    <w:rsid w:val="00BA7F6A"/>
    <w:rsid w:val="00BB444F"/>
    <w:rsid w:val="00BC1506"/>
    <w:rsid w:val="00BC1581"/>
    <w:rsid w:val="00BC368A"/>
    <w:rsid w:val="00BD0FF4"/>
    <w:rsid w:val="00BD1D80"/>
    <w:rsid w:val="00BD4A3C"/>
    <w:rsid w:val="00BD4A80"/>
    <w:rsid w:val="00BE0878"/>
    <w:rsid w:val="00BE2089"/>
    <w:rsid w:val="00BE48C4"/>
    <w:rsid w:val="00BE71FB"/>
    <w:rsid w:val="00C05D31"/>
    <w:rsid w:val="00C07BFD"/>
    <w:rsid w:val="00C1585C"/>
    <w:rsid w:val="00C23223"/>
    <w:rsid w:val="00C31D88"/>
    <w:rsid w:val="00C32A01"/>
    <w:rsid w:val="00C4163A"/>
    <w:rsid w:val="00C4233B"/>
    <w:rsid w:val="00C424DC"/>
    <w:rsid w:val="00C623E8"/>
    <w:rsid w:val="00C6332A"/>
    <w:rsid w:val="00C6566D"/>
    <w:rsid w:val="00C9197E"/>
    <w:rsid w:val="00CA072F"/>
    <w:rsid w:val="00CA130A"/>
    <w:rsid w:val="00CA4DC2"/>
    <w:rsid w:val="00CC6344"/>
    <w:rsid w:val="00CD4D82"/>
    <w:rsid w:val="00CD56AE"/>
    <w:rsid w:val="00CD72A1"/>
    <w:rsid w:val="00CE3460"/>
    <w:rsid w:val="00CE75D4"/>
    <w:rsid w:val="00CF5534"/>
    <w:rsid w:val="00D05595"/>
    <w:rsid w:val="00D10268"/>
    <w:rsid w:val="00D13760"/>
    <w:rsid w:val="00D13A4A"/>
    <w:rsid w:val="00D2056B"/>
    <w:rsid w:val="00D27FB3"/>
    <w:rsid w:val="00D351B7"/>
    <w:rsid w:val="00D41940"/>
    <w:rsid w:val="00D5039D"/>
    <w:rsid w:val="00D50628"/>
    <w:rsid w:val="00D51821"/>
    <w:rsid w:val="00D530D1"/>
    <w:rsid w:val="00D5598D"/>
    <w:rsid w:val="00D55EE1"/>
    <w:rsid w:val="00D5672D"/>
    <w:rsid w:val="00D62BA8"/>
    <w:rsid w:val="00D7629C"/>
    <w:rsid w:val="00D77CE6"/>
    <w:rsid w:val="00D82724"/>
    <w:rsid w:val="00D8362F"/>
    <w:rsid w:val="00D86B40"/>
    <w:rsid w:val="00DA1E8D"/>
    <w:rsid w:val="00DA2126"/>
    <w:rsid w:val="00DA464A"/>
    <w:rsid w:val="00DA7B42"/>
    <w:rsid w:val="00DB1046"/>
    <w:rsid w:val="00DB13A0"/>
    <w:rsid w:val="00DB3C97"/>
    <w:rsid w:val="00DB6EDE"/>
    <w:rsid w:val="00DC04AA"/>
    <w:rsid w:val="00DC0824"/>
    <w:rsid w:val="00DC0D94"/>
    <w:rsid w:val="00DC1662"/>
    <w:rsid w:val="00DC2493"/>
    <w:rsid w:val="00DC52CE"/>
    <w:rsid w:val="00DE08E0"/>
    <w:rsid w:val="00DE0EB8"/>
    <w:rsid w:val="00DF14A5"/>
    <w:rsid w:val="00DF174B"/>
    <w:rsid w:val="00DF19C3"/>
    <w:rsid w:val="00DF35AB"/>
    <w:rsid w:val="00DF7C52"/>
    <w:rsid w:val="00E14484"/>
    <w:rsid w:val="00E17E88"/>
    <w:rsid w:val="00E21092"/>
    <w:rsid w:val="00E22946"/>
    <w:rsid w:val="00E25076"/>
    <w:rsid w:val="00E258A8"/>
    <w:rsid w:val="00E27BB7"/>
    <w:rsid w:val="00E27E96"/>
    <w:rsid w:val="00E32128"/>
    <w:rsid w:val="00E5068E"/>
    <w:rsid w:val="00E74D68"/>
    <w:rsid w:val="00E7671A"/>
    <w:rsid w:val="00E76B5A"/>
    <w:rsid w:val="00E800EB"/>
    <w:rsid w:val="00E92995"/>
    <w:rsid w:val="00E946D6"/>
    <w:rsid w:val="00EA1AC3"/>
    <w:rsid w:val="00EA2229"/>
    <w:rsid w:val="00EB6D9B"/>
    <w:rsid w:val="00ED129D"/>
    <w:rsid w:val="00ED2B56"/>
    <w:rsid w:val="00EE2E06"/>
    <w:rsid w:val="00EE747D"/>
    <w:rsid w:val="00EF1BC8"/>
    <w:rsid w:val="00F0361B"/>
    <w:rsid w:val="00F10209"/>
    <w:rsid w:val="00F15CC3"/>
    <w:rsid w:val="00F207DC"/>
    <w:rsid w:val="00F27168"/>
    <w:rsid w:val="00F34C35"/>
    <w:rsid w:val="00F35565"/>
    <w:rsid w:val="00F41A13"/>
    <w:rsid w:val="00F422C2"/>
    <w:rsid w:val="00F50EE5"/>
    <w:rsid w:val="00F573C7"/>
    <w:rsid w:val="00F57CF8"/>
    <w:rsid w:val="00F630D4"/>
    <w:rsid w:val="00F706DB"/>
    <w:rsid w:val="00F724A3"/>
    <w:rsid w:val="00F72966"/>
    <w:rsid w:val="00FA5B48"/>
    <w:rsid w:val="00FA79E4"/>
    <w:rsid w:val="00FC1D15"/>
    <w:rsid w:val="00FC25AA"/>
    <w:rsid w:val="00FC441C"/>
    <w:rsid w:val="00FC561E"/>
    <w:rsid w:val="00FD209C"/>
    <w:rsid w:val="00FD68D6"/>
    <w:rsid w:val="00FE0B7C"/>
    <w:rsid w:val="00FE5AD9"/>
    <w:rsid w:val="00FF591D"/>
    <w:rsid w:val="59F793D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F006A1"/>
  <w15:chartTrackingRefBased/>
  <w15:docId w15:val="{0512EB36-EED8-46B5-99E2-6F8F45322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4D6F"/>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6200A2"/>
    <w:pPr>
      <w:keepNext/>
      <w:keepLines/>
      <w:numPr>
        <w:numId w:val="4"/>
      </w:numPr>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nhideWhenUsed/>
    <w:qFormat/>
    <w:rsid w:val="006200A2"/>
    <w:pPr>
      <w:keepNext/>
      <w:keepLines/>
      <w:numPr>
        <w:ilvl w:val="1"/>
        <w:numId w:val="4"/>
      </w:numPr>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02E9F"/>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CLTitle">
    <w:name w:val="ACL Title"/>
    <w:basedOn w:val="Normal"/>
    <w:qFormat/>
    <w:rsid w:val="00992AE6"/>
    <w:pPr>
      <w:framePr w:w="12012" w:h="1416" w:hSpace="180" w:wrap="around" w:vAnchor="text" w:hAnchor="page" w:x="109" w:y="-36"/>
      <w:pBdr>
        <w:top w:val="single" w:sz="6" w:space="1" w:color="auto"/>
        <w:left w:val="single" w:sz="6" w:space="1" w:color="auto"/>
        <w:bottom w:val="single" w:sz="6" w:space="1" w:color="auto"/>
        <w:right w:val="single" w:sz="6" w:space="1" w:color="auto"/>
      </w:pBdr>
      <w:jc w:val="center"/>
    </w:pPr>
    <w:rPr>
      <w:b/>
      <w:sz w:val="30"/>
      <w:szCs w:val="30"/>
    </w:rPr>
  </w:style>
  <w:style w:type="paragraph" w:customStyle="1" w:styleId="ACLAbstractHeading">
    <w:name w:val="ACL Abstract Heading"/>
    <w:basedOn w:val="Normal"/>
    <w:next w:val="Normal"/>
    <w:qFormat/>
    <w:rsid w:val="00992AE6"/>
    <w:pPr>
      <w:spacing w:after="200" w:line="245" w:lineRule="auto"/>
      <w:jc w:val="center"/>
    </w:pPr>
    <w:rPr>
      <w:rFonts w:eastAsia="MS Mincho"/>
      <w:b/>
      <w:bCs/>
      <w:kern w:val="16"/>
      <w:lang w:eastAsia="de-DE"/>
    </w:rPr>
  </w:style>
  <w:style w:type="paragraph" w:customStyle="1" w:styleId="ACLText">
    <w:name w:val="ACL Text"/>
    <w:basedOn w:val="Normal"/>
    <w:next w:val="ACLTextFirstLine"/>
    <w:link w:val="ACLTextChar"/>
    <w:qFormat/>
    <w:rsid w:val="006200A2"/>
    <w:pPr>
      <w:spacing w:line="252" w:lineRule="auto"/>
      <w:jc w:val="both"/>
    </w:pPr>
    <w:rPr>
      <w:spacing w:val="-2"/>
      <w:kern w:val="16"/>
      <w:lang w:eastAsia="de-DE"/>
    </w:rPr>
  </w:style>
  <w:style w:type="character" w:customStyle="1" w:styleId="ACLTextChar">
    <w:name w:val="ACL Text Char"/>
    <w:link w:val="ACLText"/>
    <w:rsid w:val="006200A2"/>
    <w:rPr>
      <w:rFonts w:ascii="Times New Roman" w:eastAsia="Times New Roman" w:hAnsi="Times New Roman" w:cs="Times New Roman"/>
      <w:spacing w:val="-2"/>
      <w:kern w:val="16"/>
      <w:lang w:eastAsia="de-DE"/>
    </w:rPr>
  </w:style>
  <w:style w:type="paragraph" w:customStyle="1" w:styleId="ACLAbstractText">
    <w:name w:val="ACL Abstract Text"/>
    <w:basedOn w:val="ACLText"/>
    <w:qFormat/>
    <w:rsid w:val="006200A2"/>
    <w:pPr>
      <w:spacing w:after="240"/>
      <w:ind w:left="403" w:right="589"/>
    </w:pPr>
    <w:rPr>
      <w:rFonts w:eastAsia="MS Mincho"/>
      <w:sz w:val="20"/>
    </w:rPr>
  </w:style>
  <w:style w:type="paragraph" w:customStyle="1" w:styleId="ACLAcknowledgments">
    <w:name w:val="ACL Acknowledgments"/>
    <w:basedOn w:val="Normal"/>
    <w:link w:val="ACLAcknowledgmentsChar"/>
    <w:qFormat/>
    <w:rsid w:val="006200A2"/>
    <w:pPr>
      <w:keepNext/>
      <w:spacing w:before="180" w:after="120"/>
      <w:jc w:val="both"/>
      <w:outlineLvl w:val="0"/>
    </w:pPr>
    <w:rPr>
      <w:rFonts w:eastAsia="MS Mincho"/>
      <w:b/>
      <w:bCs/>
      <w:kern w:val="16"/>
      <w:szCs w:val="26"/>
      <w:lang w:eastAsia="de-DE"/>
    </w:rPr>
  </w:style>
  <w:style w:type="character" w:customStyle="1" w:styleId="ACLAcknowledgmentsChar">
    <w:name w:val="ACL Acknowledgments Char"/>
    <w:link w:val="ACLAcknowledgments"/>
    <w:rsid w:val="006200A2"/>
    <w:rPr>
      <w:rFonts w:ascii="Times New Roman" w:eastAsia="MS Mincho" w:hAnsi="Times New Roman" w:cs="Times New Roman"/>
      <w:b/>
      <w:bCs/>
      <w:kern w:val="16"/>
      <w:sz w:val="24"/>
      <w:szCs w:val="26"/>
      <w:lang w:eastAsia="de-DE"/>
    </w:rPr>
  </w:style>
  <w:style w:type="paragraph" w:customStyle="1" w:styleId="ACLAcknowledgmentsHeader">
    <w:name w:val="ACL Acknowledgments Header"/>
    <w:basedOn w:val="ACLAcknowledgments"/>
    <w:link w:val="ACLAcknowledgmentsHeaderChar"/>
    <w:qFormat/>
    <w:rsid w:val="006200A2"/>
  </w:style>
  <w:style w:type="character" w:customStyle="1" w:styleId="ACLAcknowledgmentsHeaderChar">
    <w:name w:val="ACL Acknowledgments Header Char"/>
    <w:link w:val="ACLAcknowledgmentsHeader"/>
    <w:rsid w:val="006200A2"/>
    <w:rPr>
      <w:rFonts w:ascii="Times New Roman" w:eastAsia="MS Mincho" w:hAnsi="Times New Roman" w:cs="Times New Roman"/>
      <w:b/>
      <w:bCs/>
      <w:kern w:val="16"/>
      <w:sz w:val="24"/>
      <w:szCs w:val="26"/>
      <w:lang w:eastAsia="de-DE"/>
    </w:rPr>
  </w:style>
  <w:style w:type="paragraph" w:customStyle="1" w:styleId="ACLAddress">
    <w:name w:val="ACL Address"/>
    <w:basedOn w:val="Normal"/>
    <w:qFormat/>
    <w:rsid w:val="006200A2"/>
    <w:pPr>
      <w:jc w:val="center"/>
    </w:pPr>
    <w:rPr>
      <w:rFonts w:eastAsia="MS Mincho"/>
      <w:szCs w:val="20"/>
      <w:lang w:eastAsia="de-DE"/>
    </w:rPr>
  </w:style>
  <w:style w:type="paragraph" w:styleId="NoSpacing">
    <w:name w:val="No Spacing"/>
    <w:uiPriority w:val="1"/>
    <w:qFormat/>
    <w:rsid w:val="004F6729"/>
    <w:pPr>
      <w:spacing w:after="0" w:line="240" w:lineRule="auto"/>
    </w:pPr>
  </w:style>
  <w:style w:type="paragraph" w:customStyle="1" w:styleId="ACLReferencesText">
    <w:name w:val="ACL References Text"/>
    <w:basedOn w:val="Normal"/>
    <w:link w:val="ACLReferencesTextChar"/>
    <w:qFormat/>
    <w:rsid w:val="006200A2"/>
    <w:pPr>
      <w:spacing w:after="120" w:line="245" w:lineRule="auto"/>
      <w:ind w:left="230" w:hanging="230"/>
      <w:jc w:val="both"/>
    </w:pPr>
    <w:rPr>
      <w:rFonts w:eastAsia="MS Mincho"/>
      <w:kern w:val="16"/>
      <w:sz w:val="20"/>
      <w:szCs w:val="20"/>
      <w:lang w:eastAsia="de-DE"/>
    </w:rPr>
  </w:style>
  <w:style w:type="character" w:customStyle="1" w:styleId="ACLReferencesTextChar">
    <w:name w:val="ACL References Text Char"/>
    <w:link w:val="ACLReferencesText"/>
    <w:rsid w:val="006200A2"/>
    <w:rPr>
      <w:rFonts w:ascii="Times New Roman" w:eastAsia="MS Mincho" w:hAnsi="Times New Roman" w:cs="Times New Roman"/>
      <w:kern w:val="16"/>
      <w:sz w:val="20"/>
      <w:szCs w:val="20"/>
      <w:lang w:eastAsia="de-DE"/>
    </w:rPr>
  </w:style>
  <w:style w:type="paragraph" w:customStyle="1" w:styleId="ACLBookJournaltitle">
    <w:name w:val="ACL Book/Journal title"/>
    <w:basedOn w:val="ACLReferencesText"/>
    <w:qFormat/>
    <w:rsid w:val="006200A2"/>
    <w:rPr>
      <w:i/>
    </w:rPr>
  </w:style>
  <w:style w:type="paragraph" w:customStyle="1" w:styleId="ACLBulletedList">
    <w:name w:val="ACL Bulleted List"/>
    <w:basedOn w:val="Normal"/>
    <w:link w:val="ACLBulletedListChar"/>
    <w:qFormat/>
    <w:rsid w:val="00AF763D"/>
    <w:pPr>
      <w:numPr>
        <w:numId w:val="1"/>
      </w:numPr>
      <w:tabs>
        <w:tab w:val="left" w:pos="450"/>
      </w:tabs>
      <w:spacing w:before="200" w:after="200" w:line="245" w:lineRule="auto"/>
      <w:jc w:val="both"/>
    </w:pPr>
    <w:rPr>
      <w:rFonts w:eastAsia="MS Mincho"/>
      <w:kern w:val="16"/>
      <w:szCs w:val="20"/>
      <w:lang w:eastAsia="de-DE"/>
    </w:rPr>
  </w:style>
  <w:style w:type="character" w:customStyle="1" w:styleId="ACLBulletedListChar">
    <w:name w:val="ACL Bulleted List Char"/>
    <w:link w:val="ACLBulletedList"/>
    <w:rsid w:val="00AF763D"/>
    <w:rPr>
      <w:rFonts w:ascii="Times New Roman" w:eastAsia="MS Mincho" w:hAnsi="Times New Roman" w:cs="Times New Roman"/>
      <w:kern w:val="16"/>
      <w:szCs w:val="20"/>
      <w:lang w:eastAsia="de-DE"/>
    </w:rPr>
  </w:style>
  <w:style w:type="paragraph" w:customStyle="1" w:styleId="ACLCaption">
    <w:name w:val="ACL Caption"/>
    <w:basedOn w:val="Normal"/>
    <w:link w:val="ACLCaptionChar"/>
    <w:qFormat/>
    <w:rsid w:val="009A6463"/>
    <w:pPr>
      <w:framePr w:hSpace="187" w:wrap="around" w:hAnchor="text" w:xAlign="center" w:y="1"/>
      <w:spacing w:before="80"/>
      <w:suppressOverlap/>
      <w:jc w:val="center"/>
    </w:pPr>
    <w:rPr>
      <w:sz w:val="20"/>
      <w:szCs w:val="20"/>
      <w:lang w:eastAsia="de-DE"/>
    </w:rPr>
  </w:style>
  <w:style w:type="character" w:customStyle="1" w:styleId="ACLCaptionChar">
    <w:name w:val="ACL Caption Char"/>
    <w:link w:val="ACLCaption"/>
    <w:rsid w:val="009A6463"/>
    <w:rPr>
      <w:rFonts w:ascii="Times New Roman" w:eastAsia="Times New Roman" w:hAnsi="Times New Roman" w:cs="Times New Roman"/>
      <w:sz w:val="20"/>
      <w:szCs w:val="20"/>
      <w:lang w:eastAsia="de-DE"/>
    </w:rPr>
  </w:style>
  <w:style w:type="paragraph" w:customStyle="1" w:styleId="ACLTextFirstLine">
    <w:name w:val="ACL Text First Line"/>
    <w:basedOn w:val="ACLText"/>
    <w:link w:val="ACLTextFirstLineChar"/>
    <w:qFormat/>
    <w:rsid w:val="006200A2"/>
    <w:pPr>
      <w:ind w:firstLine="230"/>
    </w:pPr>
  </w:style>
  <w:style w:type="paragraph" w:customStyle="1" w:styleId="ACLCode">
    <w:name w:val="ACL Code"/>
    <w:basedOn w:val="ACLTextFirstLine"/>
    <w:link w:val="ACLCodeChar"/>
    <w:qFormat/>
    <w:rsid w:val="006200A2"/>
    <w:rPr>
      <w:rFonts w:ascii="Courier New" w:hAnsi="Courier New"/>
      <w:sz w:val="20"/>
    </w:rPr>
  </w:style>
  <w:style w:type="paragraph" w:customStyle="1" w:styleId="ACLEmail">
    <w:name w:val="ACL Email"/>
    <w:basedOn w:val="Normal"/>
    <w:qFormat/>
    <w:rsid w:val="006200A2"/>
    <w:pPr>
      <w:spacing w:before="60" w:after="60"/>
      <w:jc w:val="center"/>
    </w:pPr>
    <w:rPr>
      <w:rFonts w:ascii="Courier New" w:hAnsi="Courier New"/>
      <w:color w:val="0D0D0D"/>
      <w:sz w:val="20"/>
      <w:szCs w:val="20"/>
      <w:lang w:eastAsia="de-DE"/>
    </w:rPr>
  </w:style>
  <w:style w:type="paragraph" w:customStyle="1" w:styleId="ACLEnumeratedList">
    <w:name w:val="ACL Enumerated List"/>
    <w:basedOn w:val="Normal"/>
    <w:link w:val="ACLEnumeratedListChar"/>
    <w:qFormat/>
    <w:rsid w:val="006200A2"/>
    <w:pPr>
      <w:numPr>
        <w:numId w:val="2"/>
      </w:numPr>
      <w:spacing w:after="200" w:line="245" w:lineRule="auto"/>
      <w:jc w:val="both"/>
    </w:pPr>
    <w:rPr>
      <w:rFonts w:eastAsia="MS Mincho"/>
      <w:kern w:val="16"/>
      <w:lang w:eastAsia="tr-TR"/>
    </w:rPr>
  </w:style>
  <w:style w:type="character" w:customStyle="1" w:styleId="ACLEnumeratedListChar">
    <w:name w:val="ACL Enumerated List Char"/>
    <w:link w:val="ACLEnumeratedList"/>
    <w:rsid w:val="006200A2"/>
    <w:rPr>
      <w:rFonts w:ascii="Times New Roman" w:eastAsia="MS Mincho" w:hAnsi="Times New Roman" w:cs="Times New Roman"/>
      <w:kern w:val="16"/>
      <w:lang w:eastAsia="tr-TR"/>
    </w:rPr>
  </w:style>
  <w:style w:type="paragraph" w:customStyle="1" w:styleId="ACLEquationLine">
    <w:name w:val="ACL EquationLine"/>
    <w:basedOn w:val="Normal"/>
    <w:qFormat/>
    <w:rsid w:val="006200A2"/>
    <w:pPr>
      <w:tabs>
        <w:tab w:val="center" w:pos="2340"/>
        <w:tab w:val="right" w:pos="4500"/>
      </w:tabs>
      <w:spacing w:before="120" w:after="120"/>
      <w:jc w:val="center"/>
    </w:pPr>
    <w:rPr>
      <w:bCs/>
      <w:sz w:val="20"/>
      <w:szCs w:val="20"/>
      <w:lang w:eastAsia="de-DE"/>
    </w:rPr>
  </w:style>
  <w:style w:type="character" w:styleId="LineNumber">
    <w:name w:val="line number"/>
    <w:basedOn w:val="DefaultParagraphFont"/>
    <w:uiPriority w:val="99"/>
    <w:unhideWhenUsed/>
    <w:rsid w:val="007E6C4F"/>
    <w:rPr>
      <w:rFonts w:ascii="Arial" w:hAnsi="Arial"/>
      <w:b/>
      <w:color w:val="7F7F7F" w:themeColor="text1" w:themeTint="80"/>
      <w:sz w:val="11"/>
    </w:rPr>
  </w:style>
  <w:style w:type="paragraph" w:customStyle="1" w:styleId="ACLCaptionLong">
    <w:name w:val="ACL Caption Long"/>
    <w:basedOn w:val="ACLCaption"/>
    <w:qFormat/>
    <w:rsid w:val="00A6714C"/>
    <w:pPr>
      <w:framePr w:wrap="around"/>
      <w:jc w:val="left"/>
    </w:pPr>
    <w:rPr>
      <w:rFonts w:eastAsia="MS Mincho"/>
    </w:rPr>
  </w:style>
  <w:style w:type="character" w:customStyle="1" w:styleId="ACLFootnoteReference">
    <w:name w:val="ACL Footnote Reference"/>
    <w:qFormat/>
    <w:rsid w:val="006200A2"/>
    <w:rPr>
      <w:kern w:val="16"/>
      <w:vertAlign w:val="superscript"/>
    </w:rPr>
  </w:style>
  <w:style w:type="paragraph" w:customStyle="1" w:styleId="ACLFootnoteText">
    <w:name w:val="ACL Footnote Text"/>
    <w:basedOn w:val="Normal"/>
    <w:qFormat/>
    <w:rsid w:val="006200A2"/>
    <w:rPr>
      <w:sz w:val="18"/>
      <w:szCs w:val="20"/>
      <w:lang w:eastAsia="de-DE"/>
    </w:rPr>
  </w:style>
  <w:style w:type="paragraph" w:customStyle="1" w:styleId="ACLHyperlink">
    <w:name w:val="ACL Hyperlink"/>
    <w:basedOn w:val="ACLText"/>
    <w:link w:val="ACLHyperlinkChar"/>
    <w:qFormat/>
    <w:rsid w:val="006200A2"/>
    <w:rPr>
      <w:color w:val="000090"/>
    </w:rPr>
  </w:style>
  <w:style w:type="character" w:customStyle="1" w:styleId="ACLHyperlinkChar">
    <w:name w:val="ACL Hyperlink Char"/>
    <w:basedOn w:val="ACLTextChar"/>
    <w:link w:val="ACLHyperlink"/>
    <w:rsid w:val="006200A2"/>
    <w:rPr>
      <w:rFonts w:ascii="Times New Roman" w:eastAsia="Times New Roman" w:hAnsi="Times New Roman" w:cs="Times New Roman"/>
      <w:color w:val="000090"/>
      <w:spacing w:val="-2"/>
      <w:kern w:val="16"/>
      <w:lang w:eastAsia="de-DE"/>
    </w:rPr>
  </w:style>
  <w:style w:type="paragraph" w:customStyle="1" w:styleId="ACLIndent">
    <w:name w:val="ACL Indent"/>
    <w:basedOn w:val="ACLText"/>
    <w:qFormat/>
    <w:rsid w:val="006200A2"/>
    <w:pPr>
      <w:ind w:firstLine="230"/>
    </w:pPr>
  </w:style>
  <w:style w:type="paragraph" w:customStyle="1" w:styleId="ACLReferencesHeader">
    <w:name w:val="ACL References Header"/>
    <w:basedOn w:val="Normal"/>
    <w:link w:val="ACLReferencesHeaderChar"/>
    <w:qFormat/>
    <w:rsid w:val="006200A2"/>
    <w:pPr>
      <w:keepNext/>
      <w:spacing w:before="180" w:after="120"/>
      <w:jc w:val="both"/>
      <w:outlineLvl w:val="0"/>
    </w:pPr>
    <w:rPr>
      <w:rFonts w:eastAsia="MS Mincho"/>
      <w:b/>
      <w:bCs/>
      <w:kern w:val="16"/>
      <w:szCs w:val="26"/>
      <w:lang w:eastAsia="de-DE"/>
    </w:rPr>
  </w:style>
  <w:style w:type="character" w:customStyle="1" w:styleId="ACLReferencesHeaderChar">
    <w:name w:val="ACL References Header Char"/>
    <w:link w:val="ACLReferencesHeader"/>
    <w:rsid w:val="006200A2"/>
    <w:rPr>
      <w:rFonts w:ascii="Times New Roman" w:eastAsia="MS Mincho" w:hAnsi="Times New Roman" w:cs="Times New Roman"/>
      <w:b/>
      <w:bCs/>
      <w:kern w:val="16"/>
      <w:sz w:val="24"/>
      <w:szCs w:val="26"/>
      <w:lang w:eastAsia="de-DE"/>
    </w:rPr>
  </w:style>
  <w:style w:type="paragraph" w:customStyle="1" w:styleId="ACLRulerLeft">
    <w:name w:val="ACL Ruler Left"/>
    <w:basedOn w:val="Normal"/>
    <w:qFormat/>
    <w:rsid w:val="006200A2"/>
    <w:pPr>
      <w:spacing w:after="90" w:line="252" w:lineRule="auto"/>
      <w:ind w:left="144"/>
    </w:pPr>
    <w:rPr>
      <w:rFonts w:ascii="Arial Bold" w:hAnsi="Arial Bold" w:cs="Arial"/>
      <w:b/>
      <w:bCs/>
      <w:color w:val="808080" w:themeColor="background1" w:themeShade="80"/>
      <w:sz w:val="16"/>
      <w:szCs w:val="16"/>
      <w:lang w:eastAsia="de-DE"/>
    </w:rPr>
  </w:style>
  <w:style w:type="paragraph" w:customStyle="1" w:styleId="ACLRulerRight">
    <w:name w:val="ACL Ruler Right"/>
    <w:basedOn w:val="ACLRulerLeft"/>
    <w:qFormat/>
    <w:rsid w:val="006200A2"/>
    <w:pPr>
      <w:ind w:left="0" w:right="144"/>
      <w:jc w:val="right"/>
    </w:pPr>
  </w:style>
  <w:style w:type="paragraph" w:customStyle="1" w:styleId="ACLSection">
    <w:name w:val="ACL Section"/>
    <w:basedOn w:val="Heading1"/>
    <w:next w:val="ACLText"/>
    <w:link w:val="ACLSectionChar"/>
    <w:qFormat/>
    <w:rsid w:val="006200A2"/>
    <w:pPr>
      <w:keepLines w:val="0"/>
      <w:spacing w:after="180"/>
      <w:jc w:val="both"/>
    </w:pPr>
    <w:rPr>
      <w:rFonts w:ascii="Times New Roman" w:eastAsia="Times New Roman" w:hAnsi="Times New Roman" w:cs="Times New Roman"/>
      <w:b/>
      <w:color w:val="auto"/>
      <w:sz w:val="24"/>
      <w:szCs w:val="20"/>
      <w:lang w:eastAsia="de-DE"/>
    </w:rPr>
  </w:style>
  <w:style w:type="character" w:customStyle="1" w:styleId="ACLSectionChar">
    <w:name w:val="ACL Section Char"/>
    <w:link w:val="ACLSection"/>
    <w:rsid w:val="006200A2"/>
    <w:rPr>
      <w:rFonts w:ascii="Times New Roman" w:eastAsia="Times New Roman" w:hAnsi="Times New Roman" w:cs="Times New Roman"/>
      <w:b/>
      <w:sz w:val="24"/>
      <w:szCs w:val="20"/>
      <w:lang w:eastAsia="de-DE"/>
    </w:rPr>
  </w:style>
  <w:style w:type="character" w:customStyle="1" w:styleId="Heading1Char">
    <w:name w:val="Heading 1 Char"/>
    <w:basedOn w:val="DefaultParagraphFont"/>
    <w:link w:val="Heading1"/>
    <w:uiPriority w:val="9"/>
    <w:rsid w:val="006200A2"/>
    <w:rPr>
      <w:rFonts w:asciiTheme="majorHAnsi" w:eastAsiaTheme="majorEastAsia" w:hAnsiTheme="majorHAnsi" w:cstheme="majorBidi"/>
      <w:color w:val="2F5496" w:themeColor="accent1" w:themeShade="BF"/>
      <w:sz w:val="32"/>
      <w:szCs w:val="32"/>
    </w:rPr>
  </w:style>
  <w:style w:type="paragraph" w:customStyle="1" w:styleId="ACLSubmissionConfidentialityHeader">
    <w:name w:val="ACL Submission Confidentiality Header"/>
    <w:basedOn w:val="Normal"/>
    <w:link w:val="ACLSubmissionConfidentialityHeaderChar"/>
    <w:qFormat/>
    <w:rsid w:val="00D7629C"/>
    <w:pPr>
      <w:jc w:val="center"/>
    </w:pPr>
    <w:rPr>
      <w:rFonts w:ascii="Arial" w:hAnsi="Arial" w:cs="Arial"/>
      <w:b/>
      <w:spacing w:val="-2"/>
      <w:kern w:val="16"/>
      <w:sz w:val="18"/>
      <w:szCs w:val="20"/>
      <w:lang w:eastAsia="de-DE"/>
    </w:rPr>
  </w:style>
  <w:style w:type="character" w:customStyle="1" w:styleId="ACLSubmissionConfidentialityHeaderChar">
    <w:name w:val="ACL Submission Confidentiality Header Char"/>
    <w:link w:val="ACLSubmissionConfidentialityHeader"/>
    <w:rsid w:val="00D7629C"/>
    <w:rPr>
      <w:rFonts w:ascii="Arial" w:eastAsia="Times New Roman" w:hAnsi="Arial" w:cs="Arial"/>
      <w:b/>
      <w:spacing w:val="-2"/>
      <w:kern w:val="16"/>
      <w:sz w:val="18"/>
      <w:szCs w:val="20"/>
      <w:lang w:eastAsia="de-DE"/>
    </w:rPr>
  </w:style>
  <w:style w:type="paragraph" w:customStyle="1" w:styleId="ACLSubmissionPageNumbering">
    <w:name w:val="ACL Submission Page Numbering"/>
    <w:basedOn w:val="Normal"/>
    <w:link w:val="ACLSubmissionPageNumberingChar"/>
    <w:qFormat/>
    <w:rsid w:val="006200A2"/>
    <w:pPr>
      <w:jc w:val="center"/>
    </w:pPr>
    <w:rPr>
      <w:szCs w:val="20"/>
      <w:lang w:eastAsia="de-DE"/>
    </w:rPr>
  </w:style>
  <w:style w:type="character" w:customStyle="1" w:styleId="ACLSubmissionPageNumberingChar">
    <w:name w:val="ACL Submission Page Numbering Char"/>
    <w:link w:val="ACLSubmissionPageNumbering"/>
    <w:rsid w:val="006200A2"/>
    <w:rPr>
      <w:rFonts w:ascii="Times New Roman" w:eastAsia="Times New Roman" w:hAnsi="Times New Roman" w:cs="Times New Roman"/>
      <w:szCs w:val="20"/>
      <w:lang w:eastAsia="de-DE"/>
    </w:rPr>
  </w:style>
  <w:style w:type="paragraph" w:customStyle="1" w:styleId="ACLSubmissionRuler">
    <w:name w:val="ACL Submission Ruler"/>
    <w:basedOn w:val="Normal"/>
    <w:autoRedefine/>
    <w:qFormat/>
    <w:rsid w:val="006200A2"/>
    <w:pPr>
      <w:framePr w:hSpace="187" w:wrap="around" w:vAnchor="page" w:hAnchor="page" w:x="1441" w:y="577"/>
      <w:spacing w:before="240" w:after="240"/>
      <w:suppressOverlap/>
      <w:jc w:val="center"/>
    </w:pPr>
    <w:rPr>
      <w:rFonts w:eastAsia="MS Mincho"/>
      <w:b/>
      <w:noProof/>
      <w:color w:val="7B7B7B" w:themeColor="accent3" w:themeShade="BF"/>
      <w:szCs w:val="26"/>
      <w:lang w:eastAsia="de-DE"/>
    </w:rPr>
  </w:style>
  <w:style w:type="paragraph" w:customStyle="1" w:styleId="ACLSubsection">
    <w:name w:val="ACL Subsection"/>
    <w:basedOn w:val="Heading2"/>
    <w:next w:val="ACLText"/>
    <w:link w:val="ACLSubsectionChar"/>
    <w:qFormat/>
    <w:rsid w:val="006200A2"/>
    <w:pPr>
      <w:keepLines w:val="0"/>
      <w:spacing w:before="180" w:after="120"/>
      <w:ind w:left="562" w:hanging="562"/>
      <w:jc w:val="both"/>
    </w:pPr>
    <w:rPr>
      <w:rFonts w:ascii="Times New Roman" w:eastAsia="Times New Roman" w:hAnsi="Times New Roman" w:cs="Times New Roman"/>
      <w:b/>
      <w:color w:val="auto"/>
      <w:sz w:val="22"/>
      <w:szCs w:val="22"/>
      <w:lang w:eastAsia="de-DE"/>
    </w:rPr>
  </w:style>
  <w:style w:type="character" w:customStyle="1" w:styleId="ACLSubsectionChar">
    <w:name w:val="ACL Subsection Char"/>
    <w:link w:val="ACLSubsection"/>
    <w:rsid w:val="006200A2"/>
    <w:rPr>
      <w:rFonts w:ascii="Times New Roman" w:eastAsia="Times New Roman" w:hAnsi="Times New Roman" w:cs="Times New Roman"/>
      <w:b/>
      <w:lang w:eastAsia="de-DE"/>
    </w:rPr>
  </w:style>
  <w:style w:type="character" w:customStyle="1" w:styleId="Heading2Char">
    <w:name w:val="Heading 2 Char"/>
    <w:basedOn w:val="DefaultParagraphFont"/>
    <w:link w:val="Heading2"/>
    <w:uiPriority w:val="9"/>
    <w:semiHidden/>
    <w:rsid w:val="006200A2"/>
    <w:rPr>
      <w:rFonts w:asciiTheme="majorHAnsi" w:eastAsiaTheme="majorEastAsia" w:hAnsiTheme="majorHAnsi" w:cstheme="majorBidi"/>
      <w:color w:val="2F5496" w:themeColor="accent1" w:themeShade="BF"/>
      <w:sz w:val="26"/>
      <w:szCs w:val="26"/>
    </w:rPr>
  </w:style>
  <w:style w:type="character" w:customStyle="1" w:styleId="ACLURLHyperlinkChar">
    <w:name w:val="ACL URL Hyperlink Char"/>
    <w:basedOn w:val="ACLCodeChar"/>
    <w:link w:val="ACLURLHyperlink"/>
    <w:rsid w:val="00726D45"/>
    <w:rPr>
      <w:rFonts w:ascii="Courier New" w:eastAsia="Times New Roman" w:hAnsi="Courier New" w:cs="Times New Roman"/>
      <w:color w:val="000090"/>
      <w:spacing w:val="-5"/>
      <w:kern w:val="16"/>
      <w:sz w:val="20"/>
      <w:szCs w:val="20"/>
      <w:lang w:eastAsia="de-DE"/>
    </w:rPr>
  </w:style>
  <w:style w:type="paragraph" w:customStyle="1" w:styleId="ACLURLHyperlink">
    <w:name w:val="ACL URL Hyperlink"/>
    <w:basedOn w:val="ACLCode"/>
    <w:next w:val="Normal"/>
    <w:link w:val="ACLURLHyperlinkChar"/>
    <w:qFormat/>
    <w:rsid w:val="006200A2"/>
    <w:pPr>
      <w:ind w:firstLine="0"/>
    </w:pPr>
    <w:rPr>
      <w:color w:val="000090"/>
      <w:spacing w:val="-5"/>
      <w:szCs w:val="20"/>
    </w:rPr>
  </w:style>
  <w:style w:type="paragraph" w:styleId="Header">
    <w:name w:val="header"/>
    <w:basedOn w:val="Normal"/>
    <w:link w:val="HeaderChar"/>
    <w:uiPriority w:val="99"/>
    <w:unhideWhenUsed/>
    <w:rsid w:val="00D7629C"/>
    <w:pPr>
      <w:tabs>
        <w:tab w:val="center" w:pos="4680"/>
        <w:tab w:val="right" w:pos="9360"/>
      </w:tabs>
    </w:pPr>
  </w:style>
  <w:style w:type="character" w:customStyle="1" w:styleId="HeaderChar">
    <w:name w:val="Header Char"/>
    <w:basedOn w:val="DefaultParagraphFont"/>
    <w:link w:val="Header"/>
    <w:uiPriority w:val="99"/>
    <w:rsid w:val="00D7629C"/>
  </w:style>
  <w:style w:type="paragraph" w:styleId="Footer">
    <w:name w:val="footer"/>
    <w:basedOn w:val="Normal"/>
    <w:link w:val="FooterChar"/>
    <w:uiPriority w:val="99"/>
    <w:unhideWhenUsed/>
    <w:rsid w:val="00D7629C"/>
    <w:pPr>
      <w:tabs>
        <w:tab w:val="center" w:pos="4680"/>
        <w:tab w:val="right" w:pos="9360"/>
      </w:tabs>
    </w:pPr>
  </w:style>
  <w:style w:type="character" w:customStyle="1" w:styleId="FooterChar">
    <w:name w:val="Footer Char"/>
    <w:basedOn w:val="DefaultParagraphFont"/>
    <w:link w:val="Footer"/>
    <w:uiPriority w:val="99"/>
    <w:rsid w:val="00D7629C"/>
  </w:style>
  <w:style w:type="character" w:styleId="FootnoteReference">
    <w:name w:val="footnote reference"/>
    <w:semiHidden/>
    <w:rsid w:val="00490093"/>
    <w:rPr>
      <w:vertAlign w:val="superscript"/>
    </w:rPr>
  </w:style>
  <w:style w:type="character" w:styleId="Hyperlink">
    <w:name w:val="Hyperlink"/>
    <w:basedOn w:val="ACLHyperlinkChar"/>
    <w:qFormat/>
    <w:rsid w:val="00490093"/>
    <w:rPr>
      <w:rFonts w:ascii="Times New Roman" w:eastAsia="Times New Roman" w:hAnsi="Times New Roman" w:cs="Times New Roman"/>
      <w:color w:val="000090"/>
      <w:spacing w:val="-2"/>
      <w:kern w:val="16"/>
      <w:lang w:eastAsia="de-DE"/>
    </w:rPr>
  </w:style>
  <w:style w:type="paragraph" w:styleId="Caption">
    <w:name w:val="caption"/>
    <w:basedOn w:val="ACLCaption"/>
    <w:next w:val="ACLText"/>
    <w:qFormat/>
    <w:rsid w:val="00490093"/>
    <w:pPr>
      <w:framePr w:wrap="around"/>
      <w:spacing w:before="200" w:after="200" w:line="252" w:lineRule="auto"/>
    </w:pPr>
    <w:rPr>
      <w:bCs/>
      <w:color w:val="000000" w:themeColor="text1"/>
      <w:szCs w:val="18"/>
    </w:rPr>
  </w:style>
  <w:style w:type="character" w:styleId="FollowedHyperlink">
    <w:name w:val="FollowedHyperlink"/>
    <w:basedOn w:val="DefaultParagraphFont"/>
    <w:uiPriority w:val="99"/>
    <w:semiHidden/>
    <w:unhideWhenUsed/>
    <w:rsid w:val="00490093"/>
    <w:rPr>
      <w:color w:val="954F72" w:themeColor="followedHyperlink"/>
      <w:u w:val="single"/>
    </w:rPr>
  </w:style>
  <w:style w:type="character" w:customStyle="1" w:styleId="UnresolvedMention1">
    <w:name w:val="Unresolved Mention1"/>
    <w:basedOn w:val="DefaultParagraphFont"/>
    <w:uiPriority w:val="99"/>
    <w:semiHidden/>
    <w:unhideWhenUsed/>
    <w:rsid w:val="00490093"/>
    <w:rPr>
      <w:color w:val="808080"/>
      <w:shd w:val="clear" w:color="auto" w:fill="E6E6E6"/>
    </w:rPr>
  </w:style>
  <w:style w:type="table" w:styleId="TableGrid">
    <w:name w:val="Table Grid"/>
    <w:basedOn w:val="TableNormal"/>
    <w:uiPriority w:val="39"/>
    <w:rsid w:val="00D419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sid w:val="008B2D46"/>
    <w:rPr>
      <w:sz w:val="20"/>
      <w:szCs w:val="20"/>
    </w:rPr>
  </w:style>
  <w:style w:type="character" w:customStyle="1" w:styleId="CommentTextChar">
    <w:name w:val="Comment Text Char"/>
    <w:basedOn w:val="DefaultParagraphFont"/>
    <w:link w:val="CommentText"/>
    <w:uiPriority w:val="99"/>
    <w:semiHidden/>
    <w:rsid w:val="008B2D46"/>
    <w:rPr>
      <w:sz w:val="20"/>
      <w:szCs w:val="20"/>
    </w:rPr>
  </w:style>
  <w:style w:type="paragraph" w:styleId="CommentSubject">
    <w:name w:val="annotation subject"/>
    <w:basedOn w:val="CommentText"/>
    <w:next w:val="CommentText"/>
    <w:link w:val="CommentSubjectChar"/>
    <w:uiPriority w:val="99"/>
    <w:semiHidden/>
    <w:unhideWhenUsed/>
    <w:rsid w:val="008B2D46"/>
    <w:rPr>
      <w:b/>
      <w:bCs/>
      <w:sz w:val="22"/>
      <w:lang w:eastAsia="de-DE"/>
    </w:rPr>
  </w:style>
  <w:style w:type="character" w:customStyle="1" w:styleId="CommentSubjectChar">
    <w:name w:val="Comment Subject Char"/>
    <w:basedOn w:val="CommentTextChar"/>
    <w:link w:val="CommentSubject"/>
    <w:uiPriority w:val="99"/>
    <w:semiHidden/>
    <w:rsid w:val="008B2D46"/>
    <w:rPr>
      <w:rFonts w:ascii="Times New Roman" w:eastAsia="Times New Roman" w:hAnsi="Times New Roman" w:cs="Times New Roman"/>
      <w:b/>
      <w:bCs/>
      <w:sz w:val="20"/>
      <w:szCs w:val="20"/>
      <w:lang w:eastAsia="de-DE"/>
    </w:rPr>
  </w:style>
  <w:style w:type="character" w:customStyle="1" w:styleId="gi">
    <w:name w:val="gi"/>
    <w:basedOn w:val="DefaultParagraphFont"/>
    <w:rsid w:val="00A45C6C"/>
  </w:style>
  <w:style w:type="character" w:styleId="UnresolvedMention">
    <w:name w:val="Unresolved Mention"/>
    <w:basedOn w:val="DefaultParagraphFont"/>
    <w:uiPriority w:val="99"/>
    <w:semiHidden/>
    <w:unhideWhenUsed/>
    <w:rsid w:val="006A4029"/>
    <w:rPr>
      <w:color w:val="808080"/>
      <w:shd w:val="clear" w:color="auto" w:fill="E6E6E6"/>
    </w:rPr>
  </w:style>
  <w:style w:type="paragraph" w:styleId="BalloonText">
    <w:name w:val="Balloon Text"/>
    <w:basedOn w:val="Normal"/>
    <w:link w:val="BalloonTextChar"/>
    <w:uiPriority w:val="99"/>
    <w:semiHidden/>
    <w:unhideWhenUsed/>
    <w:rsid w:val="0087257A"/>
    <w:rPr>
      <w:rFonts w:ascii="SimSun" w:eastAsia="SimSun"/>
      <w:sz w:val="18"/>
      <w:szCs w:val="18"/>
    </w:rPr>
  </w:style>
  <w:style w:type="character" w:customStyle="1" w:styleId="BalloonTextChar">
    <w:name w:val="Balloon Text Char"/>
    <w:basedOn w:val="DefaultParagraphFont"/>
    <w:link w:val="BalloonText"/>
    <w:uiPriority w:val="99"/>
    <w:semiHidden/>
    <w:rsid w:val="0087257A"/>
    <w:rPr>
      <w:rFonts w:ascii="SimSun" w:eastAsia="SimSun"/>
      <w:sz w:val="18"/>
      <w:szCs w:val="18"/>
    </w:rPr>
  </w:style>
  <w:style w:type="character" w:customStyle="1" w:styleId="ACLTextFirstLineChar">
    <w:name w:val="ACL Text First Line Char"/>
    <w:basedOn w:val="ACLTextChar"/>
    <w:link w:val="ACLTextFirstLine"/>
    <w:rsid w:val="002C4AAA"/>
    <w:rPr>
      <w:rFonts w:ascii="Times New Roman" w:eastAsia="Times New Roman" w:hAnsi="Times New Roman" w:cs="Times New Roman"/>
      <w:spacing w:val="-2"/>
      <w:kern w:val="16"/>
      <w:lang w:eastAsia="de-DE"/>
    </w:rPr>
  </w:style>
  <w:style w:type="character" w:customStyle="1" w:styleId="ACLCodeChar">
    <w:name w:val="ACL Code Char"/>
    <w:basedOn w:val="ACLTextFirstLineChar"/>
    <w:link w:val="ACLCode"/>
    <w:rsid w:val="002C4AAA"/>
    <w:rPr>
      <w:rFonts w:ascii="Courier New" w:eastAsia="Times New Roman" w:hAnsi="Courier New" w:cs="Times New Roman"/>
      <w:spacing w:val="-2"/>
      <w:kern w:val="16"/>
      <w:sz w:val="20"/>
      <w:lang w:eastAsia="de-DE"/>
    </w:rPr>
  </w:style>
  <w:style w:type="paragraph" w:styleId="FootnoteText">
    <w:name w:val="footnote text"/>
    <w:basedOn w:val="Normal"/>
    <w:link w:val="FootnoteTextChar"/>
    <w:uiPriority w:val="99"/>
    <w:semiHidden/>
    <w:unhideWhenUsed/>
    <w:rsid w:val="005C1307"/>
    <w:rPr>
      <w:sz w:val="20"/>
      <w:szCs w:val="20"/>
    </w:rPr>
  </w:style>
  <w:style w:type="character" w:customStyle="1" w:styleId="FootnoteTextChar">
    <w:name w:val="Footnote Text Char"/>
    <w:basedOn w:val="DefaultParagraphFont"/>
    <w:link w:val="FootnoteText"/>
    <w:uiPriority w:val="99"/>
    <w:semiHidden/>
    <w:rsid w:val="005C1307"/>
    <w:rPr>
      <w:sz w:val="20"/>
      <w:szCs w:val="20"/>
    </w:rPr>
  </w:style>
  <w:style w:type="character" w:styleId="PageNumber">
    <w:name w:val="page number"/>
    <w:basedOn w:val="DefaultParagraphFont"/>
    <w:uiPriority w:val="99"/>
    <w:semiHidden/>
    <w:unhideWhenUsed/>
    <w:rsid w:val="00085910"/>
  </w:style>
  <w:style w:type="paragraph" w:styleId="NormalWeb">
    <w:name w:val="Normal (Web)"/>
    <w:basedOn w:val="Normal"/>
    <w:uiPriority w:val="99"/>
    <w:semiHidden/>
    <w:unhideWhenUsed/>
    <w:rsid w:val="006341F4"/>
  </w:style>
  <w:style w:type="character" w:customStyle="1" w:styleId="Heading3Char">
    <w:name w:val="Heading 3 Char"/>
    <w:basedOn w:val="DefaultParagraphFont"/>
    <w:link w:val="Heading3"/>
    <w:uiPriority w:val="9"/>
    <w:rsid w:val="00202E9F"/>
    <w:rPr>
      <w:rFonts w:asciiTheme="majorHAnsi" w:eastAsiaTheme="majorEastAsia" w:hAnsiTheme="majorHAnsi" w:cstheme="majorBidi"/>
      <w:color w:val="1F3763" w:themeColor="accent1" w:themeShade="7F"/>
      <w:sz w:val="24"/>
      <w:szCs w:val="24"/>
    </w:rPr>
  </w:style>
  <w:style w:type="character" w:styleId="Strong">
    <w:name w:val="Strong"/>
    <w:basedOn w:val="DefaultParagraphFont"/>
    <w:uiPriority w:val="22"/>
    <w:qFormat/>
    <w:rsid w:val="00202E9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178986">
      <w:bodyDiv w:val="1"/>
      <w:marLeft w:val="0"/>
      <w:marRight w:val="0"/>
      <w:marTop w:val="0"/>
      <w:marBottom w:val="0"/>
      <w:divBdr>
        <w:top w:val="none" w:sz="0" w:space="0" w:color="auto"/>
        <w:left w:val="none" w:sz="0" w:space="0" w:color="auto"/>
        <w:bottom w:val="none" w:sz="0" w:space="0" w:color="auto"/>
        <w:right w:val="none" w:sz="0" w:space="0" w:color="auto"/>
      </w:divBdr>
    </w:div>
    <w:div w:id="377779694">
      <w:bodyDiv w:val="1"/>
      <w:marLeft w:val="0"/>
      <w:marRight w:val="0"/>
      <w:marTop w:val="0"/>
      <w:marBottom w:val="0"/>
      <w:divBdr>
        <w:top w:val="none" w:sz="0" w:space="0" w:color="auto"/>
        <w:left w:val="none" w:sz="0" w:space="0" w:color="auto"/>
        <w:bottom w:val="none" w:sz="0" w:space="0" w:color="auto"/>
        <w:right w:val="none" w:sz="0" w:space="0" w:color="auto"/>
      </w:divBdr>
    </w:div>
    <w:div w:id="382368559">
      <w:bodyDiv w:val="1"/>
      <w:marLeft w:val="0"/>
      <w:marRight w:val="0"/>
      <w:marTop w:val="0"/>
      <w:marBottom w:val="0"/>
      <w:divBdr>
        <w:top w:val="none" w:sz="0" w:space="0" w:color="auto"/>
        <w:left w:val="none" w:sz="0" w:space="0" w:color="auto"/>
        <w:bottom w:val="none" w:sz="0" w:space="0" w:color="auto"/>
        <w:right w:val="none" w:sz="0" w:space="0" w:color="auto"/>
      </w:divBdr>
      <w:divsChild>
        <w:div w:id="1294598752">
          <w:marLeft w:val="0"/>
          <w:marRight w:val="0"/>
          <w:marTop w:val="0"/>
          <w:marBottom w:val="0"/>
          <w:divBdr>
            <w:top w:val="none" w:sz="0" w:space="0" w:color="auto"/>
            <w:left w:val="none" w:sz="0" w:space="0" w:color="auto"/>
            <w:bottom w:val="none" w:sz="0" w:space="0" w:color="auto"/>
            <w:right w:val="none" w:sz="0" w:space="0" w:color="auto"/>
          </w:divBdr>
        </w:div>
        <w:div w:id="712777836">
          <w:marLeft w:val="0"/>
          <w:marRight w:val="0"/>
          <w:marTop w:val="0"/>
          <w:marBottom w:val="0"/>
          <w:divBdr>
            <w:top w:val="none" w:sz="0" w:space="0" w:color="auto"/>
            <w:left w:val="none" w:sz="0" w:space="0" w:color="auto"/>
            <w:bottom w:val="none" w:sz="0" w:space="0" w:color="auto"/>
            <w:right w:val="none" w:sz="0" w:space="0" w:color="auto"/>
          </w:divBdr>
        </w:div>
        <w:div w:id="1495873348">
          <w:marLeft w:val="0"/>
          <w:marRight w:val="0"/>
          <w:marTop w:val="0"/>
          <w:marBottom w:val="0"/>
          <w:divBdr>
            <w:top w:val="none" w:sz="0" w:space="0" w:color="auto"/>
            <w:left w:val="none" w:sz="0" w:space="0" w:color="auto"/>
            <w:bottom w:val="none" w:sz="0" w:space="0" w:color="auto"/>
            <w:right w:val="none" w:sz="0" w:space="0" w:color="auto"/>
          </w:divBdr>
        </w:div>
        <w:div w:id="1239941414">
          <w:marLeft w:val="0"/>
          <w:marRight w:val="0"/>
          <w:marTop w:val="0"/>
          <w:marBottom w:val="0"/>
          <w:divBdr>
            <w:top w:val="none" w:sz="0" w:space="0" w:color="auto"/>
            <w:left w:val="none" w:sz="0" w:space="0" w:color="auto"/>
            <w:bottom w:val="none" w:sz="0" w:space="0" w:color="auto"/>
            <w:right w:val="none" w:sz="0" w:space="0" w:color="auto"/>
          </w:divBdr>
        </w:div>
        <w:div w:id="340665370">
          <w:marLeft w:val="0"/>
          <w:marRight w:val="0"/>
          <w:marTop w:val="0"/>
          <w:marBottom w:val="0"/>
          <w:divBdr>
            <w:top w:val="none" w:sz="0" w:space="0" w:color="auto"/>
            <w:left w:val="none" w:sz="0" w:space="0" w:color="auto"/>
            <w:bottom w:val="none" w:sz="0" w:space="0" w:color="auto"/>
            <w:right w:val="none" w:sz="0" w:space="0" w:color="auto"/>
          </w:divBdr>
        </w:div>
        <w:div w:id="181091481">
          <w:marLeft w:val="0"/>
          <w:marRight w:val="0"/>
          <w:marTop w:val="0"/>
          <w:marBottom w:val="0"/>
          <w:divBdr>
            <w:top w:val="none" w:sz="0" w:space="0" w:color="auto"/>
            <w:left w:val="none" w:sz="0" w:space="0" w:color="auto"/>
            <w:bottom w:val="none" w:sz="0" w:space="0" w:color="auto"/>
            <w:right w:val="none" w:sz="0" w:space="0" w:color="auto"/>
          </w:divBdr>
        </w:div>
        <w:div w:id="1359964588">
          <w:marLeft w:val="0"/>
          <w:marRight w:val="0"/>
          <w:marTop w:val="0"/>
          <w:marBottom w:val="0"/>
          <w:divBdr>
            <w:top w:val="none" w:sz="0" w:space="0" w:color="auto"/>
            <w:left w:val="none" w:sz="0" w:space="0" w:color="auto"/>
            <w:bottom w:val="none" w:sz="0" w:space="0" w:color="auto"/>
            <w:right w:val="none" w:sz="0" w:space="0" w:color="auto"/>
          </w:divBdr>
        </w:div>
      </w:divsChild>
    </w:div>
    <w:div w:id="531766674">
      <w:bodyDiv w:val="1"/>
      <w:marLeft w:val="0"/>
      <w:marRight w:val="0"/>
      <w:marTop w:val="0"/>
      <w:marBottom w:val="0"/>
      <w:divBdr>
        <w:top w:val="none" w:sz="0" w:space="0" w:color="auto"/>
        <w:left w:val="none" w:sz="0" w:space="0" w:color="auto"/>
        <w:bottom w:val="none" w:sz="0" w:space="0" w:color="auto"/>
        <w:right w:val="none" w:sz="0" w:space="0" w:color="auto"/>
      </w:divBdr>
    </w:div>
    <w:div w:id="772630196">
      <w:bodyDiv w:val="1"/>
      <w:marLeft w:val="0"/>
      <w:marRight w:val="0"/>
      <w:marTop w:val="0"/>
      <w:marBottom w:val="0"/>
      <w:divBdr>
        <w:top w:val="none" w:sz="0" w:space="0" w:color="auto"/>
        <w:left w:val="none" w:sz="0" w:space="0" w:color="auto"/>
        <w:bottom w:val="none" w:sz="0" w:space="0" w:color="auto"/>
        <w:right w:val="none" w:sz="0" w:space="0" w:color="auto"/>
      </w:divBdr>
    </w:div>
    <w:div w:id="940995721">
      <w:bodyDiv w:val="1"/>
      <w:marLeft w:val="0"/>
      <w:marRight w:val="0"/>
      <w:marTop w:val="0"/>
      <w:marBottom w:val="0"/>
      <w:divBdr>
        <w:top w:val="none" w:sz="0" w:space="0" w:color="auto"/>
        <w:left w:val="none" w:sz="0" w:space="0" w:color="auto"/>
        <w:bottom w:val="none" w:sz="0" w:space="0" w:color="auto"/>
        <w:right w:val="none" w:sz="0" w:space="0" w:color="auto"/>
      </w:divBdr>
    </w:div>
    <w:div w:id="963534713">
      <w:bodyDiv w:val="1"/>
      <w:marLeft w:val="0"/>
      <w:marRight w:val="0"/>
      <w:marTop w:val="0"/>
      <w:marBottom w:val="0"/>
      <w:divBdr>
        <w:top w:val="none" w:sz="0" w:space="0" w:color="auto"/>
        <w:left w:val="none" w:sz="0" w:space="0" w:color="auto"/>
        <w:bottom w:val="none" w:sz="0" w:space="0" w:color="auto"/>
        <w:right w:val="none" w:sz="0" w:space="0" w:color="auto"/>
      </w:divBdr>
    </w:div>
    <w:div w:id="1233195759">
      <w:bodyDiv w:val="1"/>
      <w:marLeft w:val="0"/>
      <w:marRight w:val="0"/>
      <w:marTop w:val="0"/>
      <w:marBottom w:val="0"/>
      <w:divBdr>
        <w:top w:val="none" w:sz="0" w:space="0" w:color="auto"/>
        <w:left w:val="none" w:sz="0" w:space="0" w:color="auto"/>
        <w:bottom w:val="none" w:sz="0" w:space="0" w:color="auto"/>
        <w:right w:val="none" w:sz="0" w:space="0" w:color="auto"/>
      </w:divBdr>
    </w:div>
    <w:div w:id="1233850279">
      <w:bodyDiv w:val="1"/>
      <w:marLeft w:val="0"/>
      <w:marRight w:val="0"/>
      <w:marTop w:val="0"/>
      <w:marBottom w:val="0"/>
      <w:divBdr>
        <w:top w:val="none" w:sz="0" w:space="0" w:color="auto"/>
        <w:left w:val="none" w:sz="0" w:space="0" w:color="auto"/>
        <w:bottom w:val="none" w:sz="0" w:space="0" w:color="auto"/>
        <w:right w:val="none" w:sz="0" w:space="0" w:color="auto"/>
      </w:divBdr>
    </w:div>
    <w:div w:id="1235048194">
      <w:bodyDiv w:val="1"/>
      <w:marLeft w:val="0"/>
      <w:marRight w:val="0"/>
      <w:marTop w:val="0"/>
      <w:marBottom w:val="0"/>
      <w:divBdr>
        <w:top w:val="none" w:sz="0" w:space="0" w:color="auto"/>
        <w:left w:val="none" w:sz="0" w:space="0" w:color="auto"/>
        <w:bottom w:val="none" w:sz="0" w:space="0" w:color="auto"/>
        <w:right w:val="none" w:sz="0" w:space="0" w:color="auto"/>
      </w:divBdr>
    </w:div>
    <w:div w:id="1302227334">
      <w:bodyDiv w:val="1"/>
      <w:marLeft w:val="0"/>
      <w:marRight w:val="0"/>
      <w:marTop w:val="0"/>
      <w:marBottom w:val="0"/>
      <w:divBdr>
        <w:top w:val="none" w:sz="0" w:space="0" w:color="auto"/>
        <w:left w:val="none" w:sz="0" w:space="0" w:color="auto"/>
        <w:bottom w:val="none" w:sz="0" w:space="0" w:color="auto"/>
        <w:right w:val="none" w:sz="0" w:space="0" w:color="auto"/>
      </w:divBdr>
    </w:div>
    <w:div w:id="1352684825">
      <w:bodyDiv w:val="1"/>
      <w:marLeft w:val="0"/>
      <w:marRight w:val="0"/>
      <w:marTop w:val="0"/>
      <w:marBottom w:val="0"/>
      <w:divBdr>
        <w:top w:val="none" w:sz="0" w:space="0" w:color="auto"/>
        <w:left w:val="none" w:sz="0" w:space="0" w:color="auto"/>
        <w:bottom w:val="none" w:sz="0" w:space="0" w:color="auto"/>
        <w:right w:val="none" w:sz="0" w:space="0" w:color="auto"/>
      </w:divBdr>
    </w:div>
    <w:div w:id="1435588371">
      <w:bodyDiv w:val="1"/>
      <w:marLeft w:val="0"/>
      <w:marRight w:val="0"/>
      <w:marTop w:val="0"/>
      <w:marBottom w:val="0"/>
      <w:divBdr>
        <w:top w:val="none" w:sz="0" w:space="0" w:color="auto"/>
        <w:left w:val="none" w:sz="0" w:space="0" w:color="auto"/>
        <w:bottom w:val="none" w:sz="0" w:space="0" w:color="auto"/>
        <w:right w:val="none" w:sz="0" w:space="0" w:color="auto"/>
      </w:divBdr>
      <w:divsChild>
        <w:div w:id="1047798242">
          <w:marLeft w:val="0"/>
          <w:marRight w:val="0"/>
          <w:marTop w:val="0"/>
          <w:marBottom w:val="0"/>
          <w:divBdr>
            <w:top w:val="none" w:sz="0" w:space="0" w:color="auto"/>
            <w:left w:val="none" w:sz="0" w:space="0" w:color="auto"/>
            <w:bottom w:val="none" w:sz="0" w:space="0" w:color="auto"/>
            <w:right w:val="none" w:sz="0" w:space="0" w:color="auto"/>
          </w:divBdr>
        </w:div>
        <w:div w:id="1714844393">
          <w:marLeft w:val="0"/>
          <w:marRight w:val="0"/>
          <w:marTop w:val="0"/>
          <w:marBottom w:val="0"/>
          <w:divBdr>
            <w:top w:val="none" w:sz="0" w:space="0" w:color="auto"/>
            <w:left w:val="none" w:sz="0" w:space="0" w:color="auto"/>
            <w:bottom w:val="none" w:sz="0" w:space="0" w:color="auto"/>
            <w:right w:val="none" w:sz="0" w:space="0" w:color="auto"/>
          </w:divBdr>
        </w:div>
        <w:div w:id="2124416001">
          <w:marLeft w:val="0"/>
          <w:marRight w:val="0"/>
          <w:marTop w:val="0"/>
          <w:marBottom w:val="0"/>
          <w:divBdr>
            <w:top w:val="none" w:sz="0" w:space="0" w:color="auto"/>
            <w:left w:val="none" w:sz="0" w:space="0" w:color="auto"/>
            <w:bottom w:val="none" w:sz="0" w:space="0" w:color="auto"/>
            <w:right w:val="none" w:sz="0" w:space="0" w:color="auto"/>
          </w:divBdr>
        </w:div>
        <w:div w:id="910387372">
          <w:marLeft w:val="0"/>
          <w:marRight w:val="0"/>
          <w:marTop w:val="0"/>
          <w:marBottom w:val="0"/>
          <w:divBdr>
            <w:top w:val="none" w:sz="0" w:space="0" w:color="auto"/>
            <w:left w:val="none" w:sz="0" w:space="0" w:color="auto"/>
            <w:bottom w:val="none" w:sz="0" w:space="0" w:color="auto"/>
            <w:right w:val="none" w:sz="0" w:space="0" w:color="auto"/>
          </w:divBdr>
        </w:div>
        <w:div w:id="950742119">
          <w:marLeft w:val="0"/>
          <w:marRight w:val="0"/>
          <w:marTop w:val="0"/>
          <w:marBottom w:val="0"/>
          <w:divBdr>
            <w:top w:val="none" w:sz="0" w:space="0" w:color="auto"/>
            <w:left w:val="none" w:sz="0" w:space="0" w:color="auto"/>
            <w:bottom w:val="none" w:sz="0" w:space="0" w:color="auto"/>
            <w:right w:val="none" w:sz="0" w:space="0" w:color="auto"/>
          </w:divBdr>
        </w:div>
        <w:div w:id="2076970152">
          <w:marLeft w:val="0"/>
          <w:marRight w:val="0"/>
          <w:marTop w:val="0"/>
          <w:marBottom w:val="0"/>
          <w:divBdr>
            <w:top w:val="none" w:sz="0" w:space="0" w:color="auto"/>
            <w:left w:val="none" w:sz="0" w:space="0" w:color="auto"/>
            <w:bottom w:val="none" w:sz="0" w:space="0" w:color="auto"/>
            <w:right w:val="none" w:sz="0" w:space="0" w:color="auto"/>
          </w:divBdr>
        </w:div>
        <w:div w:id="187183276">
          <w:marLeft w:val="0"/>
          <w:marRight w:val="0"/>
          <w:marTop w:val="0"/>
          <w:marBottom w:val="0"/>
          <w:divBdr>
            <w:top w:val="none" w:sz="0" w:space="0" w:color="auto"/>
            <w:left w:val="none" w:sz="0" w:space="0" w:color="auto"/>
            <w:bottom w:val="none" w:sz="0" w:space="0" w:color="auto"/>
            <w:right w:val="none" w:sz="0" w:space="0" w:color="auto"/>
          </w:divBdr>
        </w:div>
      </w:divsChild>
    </w:div>
    <w:div w:id="1682001128">
      <w:bodyDiv w:val="1"/>
      <w:marLeft w:val="0"/>
      <w:marRight w:val="0"/>
      <w:marTop w:val="0"/>
      <w:marBottom w:val="0"/>
      <w:divBdr>
        <w:top w:val="none" w:sz="0" w:space="0" w:color="auto"/>
        <w:left w:val="none" w:sz="0" w:space="0" w:color="auto"/>
        <w:bottom w:val="none" w:sz="0" w:space="0" w:color="auto"/>
        <w:right w:val="none" w:sz="0" w:space="0" w:color="auto"/>
      </w:divBdr>
    </w:div>
    <w:div w:id="1949659804">
      <w:bodyDiv w:val="1"/>
      <w:marLeft w:val="0"/>
      <w:marRight w:val="0"/>
      <w:marTop w:val="0"/>
      <w:marBottom w:val="0"/>
      <w:divBdr>
        <w:top w:val="none" w:sz="0" w:space="0" w:color="auto"/>
        <w:left w:val="none" w:sz="0" w:space="0" w:color="auto"/>
        <w:bottom w:val="none" w:sz="0" w:space="0" w:color="auto"/>
        <w:right w:val="none" w:sz="0" w:space="0" w:color="auto"/>
      </w:divBdr>
    </w:div>
    <w:div w:id="2030788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kilic@cisco.com"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ithub.com/tatsu-lab/stanford_alpaca"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rchencha@cisco.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rajasoun@cisco.co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3BEA8E-F860-8046-8F67-0081235E7F92}">
  <ds:schemaRefs>
    <ds:schemaRef ds:uri="http://schemas.openxmlformats.org/officeDocument/2006/bibliography"/>
  </ds:schemaRefs>
</ds:datastoreItem>
</file>

<file path=docMetadata/LabelInfo.xml><?xml version="1.0" encoding="utf-8"?>
<clbl:labelList xmlns:clbl="http://schemas.microsoft.com/office/2020/mipLabelMetadata">
  <clbl:label id="{c8f49a32-fde3-48a5-9266-b5b0972a22dc}" enabled="1" method="Standard" siteId="{5ae1af62-9505-4097-a69a-c1553ef7840e}" contentBits="2"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9</Pages>
  <Words>4870</Words>
  <Characters>27763</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L</dc:creator>
  <cp:keywords/>
  <dc:description/>
  <cp:lastModifiedBy>Oz Kilic (okilic)</cp:lastModifiedBy>
  <cp:revision>3</cp:revision>
  <cp:lastPrinted>2026-06-08T17:30:00Z</cp:lastPrinted>
  <dcterms:created xsi:type="dcterms:W3CDTF">2026-06-08T17:30:00Z</dcterms:created>
  <dcterms:modified xsi:type="dcterms:W3CDTF">2026-06-08T17:30:00Z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275e77f5f5350901e5cea4334ed074adc751aee07d5ce9495a1c64ec21a6eff4</vt:lpwstr>
  </property>
  <property fmtid="{D5CDD505-2E9C-101B-9397-08002B2CF9AE}" pid="3" name="ClassificationContentMarkingFooterShapeIds">
    <vt:lpwstr>6c04b6d8,30692465,5e68c16d</vt:lpwstr>
  </property>
  <property fmtid="{D5CDD505-2E9C-101B-9397-08002B2CF9AE}" pid="4" name="ClassificationContentMarkingFooterFontProps">
    <vt:lpwstr>#000000,8,Aptos</vt:lpwstr>
  </property>
  <property fmtid="{D5CDD505-2E9C-101B-9397-08002B2CF9AE}" pid="5" name="ClassificationContentMarkingFooterText">
    <vt:lpwstr>Cisco Confidential</vt:lpwstr>
  </property>
</Properties>
</file>